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Corpodeltesto"/>
        <w:rPr>
          <w:rFonts w:ascii="Calibri" w:hAnsi="Calibri" w:cs="Calibri" w:asciiTheme="minorHAnsi" w:cstheme="minorHAnsi" w:hAnsiTheme="minorHAnsi"/>
          <w:sz w:val="22"/>
          <w:szCs w:val="22"/>
        </w:rPr>
      </w:pPr>
      <w:r>
        <w:rPr>
          <w:rFonts w:cs="Calibri" w:cstheme="minorHAnsi" w:ascii="Calibri" w:hAnsi="Calibri"/>
          <w:sz w:val="22"/>
          <w:szCs w:val="22"/>
        </w:rPr>
      </w:r>
    </w:p>
    <w:p>
      <w:pPr>
        <w:pStyle w:val="Titolo11"/>
        <w:tabs>
          <w:tab w:val="clear" w:pos="720"/>
          <w:tab w:val="left" w:pos="0" w:leader="none"/>
        </w:tabs>
        <w:jc w:val="right"/>
        <w:rPr>
          <w:rFonts w:ascii="Calibri" w:hAnsi="Calibri" w:eastAsia="Garamond" w:cs="Calibri" w:asciiTheme="minorHAnsi" w:cstheme="minorHAnsi" w:hAnsiTheme="minorHAnsi"/>
          <w:b w:val="false"/>
          <w:sz w:val="22"/>
          <w:szCs w:val="22"/>
        </w:rPr>
      </w:pPr>
      <w:r>
        <w:rPr>
          <w:rFonts w:eastAsia="Garamond" w:cs="Calibri" w:cstheme="minorHAnsi" w:ascii="Calibri" w:hAnsi="Calibri"/>
          <w:b w:val="false"/>
          <w:sz w:val="22"/>
          <w:szCs w:val="22"/>
        </w:rPr>
      </w:r>
    </w:p>
    <w:p>
      <w:pPr>
        <w:pStyle w:val="Titolo11"/>
        <w:tabs>
          <w:tab w:val="clear" w:pos="720"/>
          <w:tab w:val="left" w:pos="0" w:leader="none"/>
        </w:tabs>
        <w:jc w:val="right"/>
        <w:rPr>
          <w:rFonts w:ascii="Calibri" w:hAnsi="Calibri" w:cs="Calibri" w:asciiTheme="minorHAnsi" w:cstheme="minorHAnsi" w:hAnsiTheme="minorHAnsi"/>
          <w:sz w:val="22"/>
          <w:szCs w:val="22"/>
        </w:rPr>
      </w:pPr>
      <w:r>
        <w:rPr>
          <w:rFonts w:eastAsia="Garamond" w:cs="Calibri" w:ascii="Calibri" w:hAnsi="Calibri" w:asciiTheme="minorHAnsi" w:cstheme="minorHAnsi" w:hAnsiTheme="minorHAnsi"/>
          <w:b w:val="false"/>
          <w:sz w:val="22"/>
          <w:szCs w:val="22"/>
        </w:rPr>
        <w:t xml:space="preserve">                                           </w:t>
      </w:r>
      <w:r>
        <w:rPr>
          <w:rFonts w:cs="Calibri" w:ascii="Calibri" w:hAnsi="Calibri" w:asciiTheme="minorHAnsi" w:cstheme="minorHAnsi" w:hAnsiTheme="minorHAnsi"/>
          <w:b w:val="false"/>
          <w:sz w:val="22"/>
          <w:szCs w:val="22"/>
        </w:rPr>
        <w:t>ALL. B</w:t>
      </w:r>
    </w:p>
    <w:p>
      <w:pPr>
        <w:pStyle w:val="Sottotitolo"/>
        <w:rPr>
          <w:rFonts w:ascii="Calibri" w:hAnsi="Calibri" w:cs="Calibri" w:asciiTheme="minorHAnsi" w:cstheme="minorHAnsi" w:hAnsiTheme="minorHAnsi"/>
          <w:b w:val="false"/>
          <w:sz w:val="22"/>
          <w:szCs w:val="22"/>
        </w:rPr>
      </w:pPr>
      <w:r>
        <w:rPr>
          <w:rFonts w:cs="Calibri" w:cstheme="minorHAnsi" w:ascii="Calibri" w:hAnsi="Calibri"/>
          <w:b w:val="false"/>
          <w:sz w:val="22"/>
          <w:szCs w:val="22"/>
        </w:rPr>
      </w:r>
    </w:p>
    <w:p>
      <w:pPr>
        <w:pStyle w:val="Standard"/>
        <w:tabs>
          <w:tab w:val="clear" w:pos="720"/>
          <w:tab w:val="left" w:pos="2694" w:leader="none"/>
          <w:tab w:val="left" w:pos="3261" w:leader="none"/>
        </w:tabs>
        <w:jc w:val="center"/>
        <w:rPr>
          <w:sz w:val="28"/>
          <w:szCs w:val="28"/>
        </w:rPr>
      </w:pPr>
      <w:r>
        <w:rPr>
          <w:rFonts w:cs="Calibri" w:ascii="Calibri" w:hAnsi="Calibri" w:asciiTheme="minorHAnsi" w:cstheme="minorHAnsi" w:hAnsiTheme="minorHAnsi"/>
          <w:b/>
          <w:smallCaps/>
          <w:sz w:val="28"/>
          <w:szCs w:val="28"/>
        </w:rPr>
        <w:t>Bilancio di Esercizio 2025</w:t>
      </w:r>
    </w:p>
    <w:p>
      <w:pPr>
        <w:pStyle w:val="Standard"/>
        <w:tabs>
          <w:tab w:val="clear" w:pos="720"/>
          <w:tab w:val="left" w:pos="2694" w:leader="none"/>
          <w:tab w:val="left" w:pos="3261" w:leader="none"/>
        </w:tabs>
        <w:jc w:val="center"/>
        <w:rPr>
          <w:rFonts w:ascii="Calibri" w:hAnsi="Calibri" w:cs="Calibri" w:asciiTheme="minorHAnsi" w:cstheme="minorHAnsi" w:hAnsiTheme="minorHAnsi"/>
          <w:b/>
          <w:smallCaps/>
          <w:sz w:val="28"/>
          <w:szCs w:val="28"/>
        </w:rPr>
      </w:pPr>
      <w:r>
        <w:rPr>
          <w:rFonts w:cs="Calibri" w:cstheme="minorHAnsi" w:ascii="Calibri" w:hAnsi="Calibri"/>
          <w:b/>
          <w:smallCaps/>
          <w:sz w:val="28"/>
          <w:szCs w:val="28"/>
        </w:rPr>
      </w:r>
    </w:p>
    <w:p>
      <w:pPr>
        <w:pStyle w:val="Standard"/>
        <w:tabs>
          <w:tab w:val="clear" w:pos="720"/>
          <w:tab w:val="left" w:pos="2694" w:leader="none"/>
          <w:tab w:val="left" w:pos="3261" w:leader="none"/>
        </w:tabs>
        <w:jc w:val="center"/>
        <w:rPr>
          <w:sz w:val="28"/>
          <w:szCs w:val="28"/>
        </w:rPr>
      </w:pPr>
      <w:r>
        <w:rPr>
          <w:rFonts w:cs="Calibri" w:ascii="Calibri" w:hAnsi="Calibri" w:asciiTheme="minorHAnsi" w:cstheme="minorHAnsi" w:hAnsiTheme="minorHAnsi"/>
          <w:b/>
          <w:sz w:val="28"/>
          <w:szCs w:val="28"/>
        </w:rPr>
        <w:t>NOTA INTEGRATIVA</w:t>
      </w:r>
    </w:p>
    <w:p>
      <w:pPr>
        <w:pStyle w:val="Textbody"/>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Textbody"/>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Textbody"/>
        <w:widowControl w:val="false"/>
        <w:numPr>
          <w:ilvl w:val="0"/>
          <w:numId w:val="7"/>
        </w:numPr>
        <w:rPr>
          <w:rFonts w:ascii="Calibri" w:hAnsi="Calibri" w:cs="Calibri" w:asciiTheme="minorHAnsi" w:cstheme="minorHAnsi" w:hAnsiTheme="minorHAnsi"/>
          <w:sz w:val="22"/>
          <w:szCs w:val="22"/>
        </w:rPr>
      </w:pPr>
      <w:r>
        <w:rPr>
          <w:rStyle w:val="BookTitle"/>
          <w:rFonts w:cs="Calibri" w:ascii="Calibri" w:hAnsi="Calibri" w:asciiTheme="minorHAnsi" w:cstheme="minorHAnsi" w:hAnsiTheme="minorHAnsi"/>
          <w:sz w:val="22"/>
          <w:szCs w:val="22"/>
        </w:rPr>
        <w:t>Introduzione</w:t>
      </w:r>
    </w:p>
    <w:p>
      <w:pPr>
        <w:pStyle w:val="Normal"/>
        <w:widowControl w:val="false"/>
        <w:tabs>
          <w:tab w:val="clear" w:pos="720"/>
          <w:tab w:val="center" w:pos="4678" w:leader="none"/>
          <w:tab w:val="right" w:pos="9356" w:leader="none"/>
        </w:tabs>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Corpodeltesto"/>
        <w:widowControl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Il Bilancio conformemente a quanto stabilito dallo Statuto consortile e dall’art. 7 del Regolamento di contabilità, è formato dallo Stato Patrimoniale, dal Conto Economico e dalla Nota Integrativa, che ne costituisce parte unitaria ed inscindibile ai sensi dell'art. 2423 del C.C., così come modificato dal Decreto Legislativo n. 127 del 9 Aprile 1991.</w:t>
      </w:r>
    </w:p>
    <w:p>
      <w:pPr>
        <w:pStyle w:val="WW-Testonormale"/>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Il bilancio è inoltre corredato dalla relazione sulla gestione e dalla relazione del Collegio Sindacale.</w:t>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L'impostazione del Bilancio corrisponde alle risultanze delle scritture contabili conformi alle disposizioni di legge in vigore e regolarmente tenute.</w:t>
      </w:r>
    </w:p>
    <w:p>
      <w:pPr>
        <w:pStyle w:val="Normal"/>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A tal proposito si osserva che, in adesione alle indicazioni fornite dalla circolare MEF – RGS 7 dicembre 2016 n. 26, scheda tematica A) – Amministrazioni che adottano la contabilità civilistica, per le PA restano utilizzabili le strutture dello stato patrimoniale e del conto economico come stabilite dal D.M. 27 marzo 2013 che costituisce, allo scopo, legge speciale che deroga dall’art. 2423-ter del codice civile.</w:t>
      </w:r>
    </w:p>
    <w:p>
      <w:pPr>
        <w:pStyle w:val="Normal"/>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Pertanto la struttura degli schemi di Stato Patrimoniale e Conto Economico non tiene conto delle disposizioni contenute negli art. 2424 e 2425 del Codice Civile, come modificati dal D.lgs. 139/2015, non essendo l’Ente direttamente obbligato alla loro applicazione, ma necessitando l’utilizzo dei riferimenti contenuti nel D.M. 27 marzo 2013 ed in generale delle regole applicabili alle pubbliche amministrazioni che sono tenute alla contabilità generale c.d. economico-patrimoniale. Tuttavia per la predisposizione di alcune parti del presente documento le informazioni negli schemi hanno tenuto conto di tali</w:t>
      </w:r>
      <w:r>
        <w:rPr>
          <w:rFonts w:cs="Calibri" w:ascii="Calibri" w:hAnsi="Calibri" w:asciiTheme="minorHAnsi" w:cstheme="minorHAnsi" w:hAnsiTheme="minorHAnsi"/>
          <w:color w:val="FF0000"/>
          <w:sz w:val="22"/>
          <w:szCs w:val="22"/>
        </w:rPr>
        <w:t xml:space="preserve"> </w:t>
      </w:r>
      <w:r>
        <w:rPr>
          <w:rFonts w:cs="Calibri" w:ascii="Calibri" w:hAnsi="Calibri" w:asciiTheme="minorHAnsi" w:cstheme="minorHAnsi" w:hAnsiTheme="minorHAnsi"/>
          <w:sz w:val="22"/>
          <w:szCs w:val="22"/>
        </w:rPr>
        <w:t>disposizioni in quanto ciò ritenuto favorire l’informativa esterna.</w:t>
      </w:r>
    </w:p>
    <w:p>
      <w:pPr>
        <w:pStyle w:val="Normal"/>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In questa ottica, anche le novità introdotte dal D.lgs. 139/2015 (in attuazione della direttiva n. 34/2013/UE) alle disposizioni del Codice Civile concernenti la predisposizione del bilancio (artt. 2423-2435-ter, c.c.), hanno costituito ispirazione e non obbligo per la redazione dello stato patrimoniale iniziale e del bilancio dell’Ente, con le seguenti peculiarità e comportamenti specifici.</w:t>
      </w:r>
    </w:p>
    <w:p>
      <w:pPr>
        <w:pStyle w:val="Normal"/>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In ogni caso, in considerazione del non superamento dei limiti indicati dall’art. 2435-bis del c.c., l’ente, fermo restando la natura giuridica non commerciale pubblica, può essere civilisticamente ricondotto - ai fini dell’applicazione dei criteri di valutazione – alla categoria delle società e imprese soggette alla redazione del bilancio in forma abbreviata, come disciplinato dallo stesso articolo 2435-bis del c.c. e di conseguenza alle deroghe applicabili.</w:t>
      </w:r>
    </w:p>
    <w:p>
      <w:pPr>
        <w:pStyle w:val="Normal"/>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Tenuto conto di tutto quanto sopra esposto, in particolare, derivano le seguenti specifiche scelte:</w:t>
      </w:r>
    </w:p>
    <w:p>
      <w:pPr>
        <w:pStyle w:val="Normal"/>
        <w:numPr>
          <w:ilvl w:val="0"/>
          <w:numId w:val="3"/>
        </w:numPr>
        <w:tabs>
          <w:tab w:val="clear" w:pos="720"/>
          <w:tab w:val="left" w:pos="360" w:leader="none"/>
        </w:tabs>
        <w:suppressAutoHyphens w:val="false"/>
        <w:ind w:left="357" w:hanging="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in calce allo stato patrimoniale non sono stati indicati i conti d’ordine e laddove necessaria l’informativa, la stessa è stata inserita nella presente nota integrativa;</w:t>
      </w:r>
    </w:p>
    <w:p>
      <w:pPr>
        <w:pStyle w:val="Normal"/>
        <w:numPr>
          <w:ilvl w:val="0"/>
          <w:numId w:val="3"/>
        </w:numPr>
        <w:tabs>
          <w:tab w:val="clear" w:pos="720"/>
          <w:tab w:val="left" w:pos="360" w:leader="none"/>
        </w:tabs>
        <w:suppressAutoHyphens w:val="false"/>
        <w:ind w:left="360" w:hanging="36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dal conto economico è stata eliminata l’area straordinaria, come previsto dallo schema di cui all’art. 2425 del Codice Civile, perché presente nell’allegato 1 e 3 del D.M. 27 marzo 2013;</w:t>
      </w:r>
    </w:p>
    <w:p>
      <w:pPr>
        <w:pStyle w:val="Normal"/>
        <w:numPr>
          <w:ilvl w:val="0"/>
          <w:numId w:val="3"/>
        </w:numPr>
        <w:tabs>
          <w:tab w:val="clear" w:pos="720"/>
          <w:tab w:val="left" w:pos="360" w:leader="none"/>
        </w:tabs>
        <w:suppressAutoHyphens w:val="false"/>
        <w:ind w:left="360" w:hanging="36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la nota integrativa, pur non rientrando nell’obbligatorietà (secondo il rigido presupposto ed impostazione delle norme civilistiche), è stata predisposta, in conformità all’impostazione del regolamento di contabilità in vigore, con generica ispirazione al contenuto previsto dall’art. 2427 del c.c., ma non in perfetta adesione alle prescrizioni ivi contenute, ritenendo comunque opportuno ciò ai fini della migliore informativa esterna.</w:t>
      </w:r>
    </w:p>
    <w:p>
      <w:pPr>
        <w:pStyle w:val="Default"/>
        <w:jc w:val="both"/>
        <w:rPr>
          <w:rFonts w:ascii="Calibri" w:hAnsi="Calibri" w:cs="Calibri" w:asciiTheme="minorHAnsi" w:cstheme="minorHAnsi" w:hAnsiTheme="minorHAnsi"/>
          <w:sz w:val="22"/>
          <w:szCs w:val="22"/>
          <w:lang w:val="it-IT"/>
        </w:rPr>
      </w:pPr>
      <w:r>
        <w:rPr>
          <w:rFonts w:cs="Calibri" w:ascii="Calibri" w:hAnsi="Calibri" w:asciiTheme="minorHAnsi" w:cstheme="minorHAnsi" w:hAnsiTheme="minorHAnsi"/>
          <w:sz w:val="22"/>
          <w:szCs w:val="22"/>
          <w:lang w:val="it-IT"/>
        </w:rPr>
        <w:t xml:space="preserve">In data 18/7/2022 con DGRT nr. 834 </w:t>
      </w:r>
      <w:r>
        <w:rPr>
          <w:rFonts w:cs="Calibri" w:ascii="Calibri" w:hAnsi="Calibri" w:asciiTheme="minorHAnsi" w:cstheme="minorHAnsi" w:hAnsiTheme="minorHAnsi"/>
          <w:i/>
          <w:sz w:val="22"/>
          <w:szCs w:val="22"/>
          <w:lang w:val="it-IT"/>
        </w:rPr>
        <w:t>“Indirizzi per l’armonizzazione ed uniforme redazione dei bilanci preventivi e d’esercizio delle Società della Salute”</w:t>
      </w:r>
      <w:r>
        <w:rPr>
          <w:rFonts w:cs="Calibri" w:ascii="Calibri" w:hAnsi="Calibri" w:asciiTheme="minorHAnsi" w:cstheme="minorHAnsi" w:hAnsiTheme="minorHAnsi"/>
          <w:sz w:val="22"/>
          <w:szCs w:val="22"/>
          <w:lang w:val="it-IT"/>
        </w:rPr>
        <w:t xml:space="preserve"> la Regione Toscana ha deliberato i nuovi schemi di bilancio delle Società della Salute. </w:t>
      </w:r>
    </w:p>
    <w:p>
      <w:pPr>
        <w:pStyle w:val="Default"/>
        <w:jc w:val="both"/>
        <w:rPr>
          <w:rFonts w:ascii="Calibri" w:hAnsi="Calibri" w:cs="Calibri" w:asciiTheme="minorHAnsi" w:cstheme="minorHAnsi" w:hAnsiTheme="minorHAnsi"/>
          <w:sz w:val="23"/>
          <w:szCs w:val="23"/>
          <w:lang w:val="it-IT"/>
        </w:rPr>
      </w:pPr>
      <w:r>
        <w:rPr>
          <w:rFonts w:cs="Calibri" w:ascii="Calibri" w:hAnsi="Calibri" w:asciiTheme="minorHAnsi" w:cstheme="minorHAnsi" w:hAnsiTheme="minorHAnsi"/>
          <w:sz w:val="22"/>
          <w:szCs w:val="22"/>
          <w:lang w:val="it-IT"/>
        </w:rPr>
        <w:t>In data 8/7/2024 con DGRT nr. 804 “</w:t>
      </w:r>
      <w:r>
        <w:rPr>
          <w:rFonts w:cs="Calibri" w:ascii="Calibri" w:hAnsi="Calibri" w:asciiTheme="minorHAnsi" w:cstheme="minorHAnsi" w:hAnsiTheme="minorHAnsi"/>
          <w:i/>
          <w:sz w:val="22"/>
          <w:szCs w:val="22"/>
          <w:lang w:val="it-IT"/>
        </w:rPr>
        <w:t>DGR n.834/2022 "Indirizzi per l’armonizzazione ed uniforme redazione dei bilanci preventivi e d’esercizio delle Società della Salute". Modifica</w:t>
      </w:r>
      <w:r>
        <w:rPr>
          <w:rFonts w:cs="Calibri" w:ascii="Calibri" w:hAnsi="Calibri" w:asciiTheme="minorHAnsi" w:cstheme="minorHAnsi" w:hAnsiTheme="minorHAnsi"/>
          <w:sz w:val="22"/>
          <w:szCs w:val="22"/>
          <w:lang w:val="it-IT"/>
        </w:rPr>
        <w:t xml:space="preserve">” la Regione Toscana, rilevata la </w:t>
      </w:r>
      <w:r>
        <w:rPr>
          <w:rFonts w:cs="Calibri" w:ascii="Calibri" w:hAnsi="Calibri" w:asciiTheme="minorHAnsi" w:cstheme="minorHAnsi" w:hAnsiTheme="minorHAnsi"/>
          <w:color w:val="auto"/>
          <w:sz w:val="22"/>
          <w:szCs w:val="22"/>
          <w:lang w:val="it-IT"/>
        </w:rPr>
        <w:t>necessità, al fine di proseguire il percorso verso l’uniformità della redazione dei bilanci di tali enti, ha ritenuto di dover precisare la natura di enti non commerciali degli stessi, sia in relazione alle tipologie di attività svolte, che alla loro collocazione all’interno del Servizio Sanitario Regionale, anche se in forma</w:t>
      </w:r>
      <w:r>
        <w:rPr>
          <w:rFonts w:cs="Calibri" w:ascii="Calibri" w:hAnsi="Calibri" w:asciiTheme="minorHAnsi" w:cstheme="minorHAnsi" w:hAnsiTheme="minorHAnsi"/>
          <w:sz w:val="22"/>
          <w:szCs w:val="22"/>
          <w:lang w:val="it-IT"/>
        </w:rPr>
        <w:t xml:space="preserve"> indiretta</w:t>
      </w:r>
      <w:r>
        <w:rPr>
          <w:rFonts w:cs="Calibri" w:ascii="Calibri" w:hAnsi="Calibri" w:asciiTheme="minorHAnsi" w:cstheme="minorHAnsi" w:hAnsiTheme="minorHAnsi"/>
          <w:sz w:val="23"/>
          <w:szCs w:val="23"/>
          <w:lang w:val="it-IT"/>
        </w:rPr>
        <w:t>.</w:t>
      </w:r>
    </w:p>
    <w:p>
      <w:pPr>
        <w:pStyle w:val="Default"/>
        <w:jc w:val="both"/>
        <w:rPr>
          <w:rFonts w:ascii="Calibri" w:hAnsi="Calibri" w:cs="Calibri" w:asciiTheme="minorHAnsi" w:cstheme="minorHAnsi" w:hAnsiTheme="minorHAnsi"/>
          <w:sz w:val="23"/>
          <w:szCs w:val="23"/>
          <w:lang w:val="it-IT"/>
        </w:rPr>
      </w:pPr>
      <w:r>
        <w:rPr>
          <w:rFonts w:cs="Calibri" w:cstheme="minorHAnsi" w:ascii="Calibri" w:hAnsi="Calibri"/>
          <w:sz w:val="23"/>
          <w:szCs w:val="23"/>
          <w:lang w:val="it-IT"/>
        </w:rPr>
      </w:r>
    </w:p>
    <w:p>
      <w:pPr>
        <w:pStyle w:val="Default"/>
        <w:jc w:val="both"/>
        <w:rPr>
          <w:rFonts w:ascii="Calibri" w:hAnsi="Calibri" w:cs="Calibri" w:asciiTheme="minorHAnsi" w:cstheme="minorHAnsi" w:hAnsiTheme="minorHAnsi"/>
          <w:color w:val="auto"/>
          <w:sz w:val="22"/>
          <w:szCs w:val="22"/>
          <w:lang w:val="it-IT"/>
        </w:rPr>
      </w:pPr>
      <w:r>
        <w:rPr>
          <w:rFonts w:cs="Calibri" w:ascii="Calibri" w:hAnsi="Calibri" w:asciiTheme="minorHAnsi" w:cstheme="minorHAnsi" w:hAnsiTheme="minorHAnsi"/>
          <w:sz w:val="23"/>
          <w:szCs w:val="23"/>
          <w:lang w:val="it-IT"/>
        </w:rPr>
        <w:t>A seguito della delibera GRT 804/204 e in attesa di concludere le attività finalizzate all’adeguamento agli indirizzi regionali, la SDS,</w:t>
      </w:r>
      <w:r>
        <w:rPr>
          <w:rFonts w:cs="Calibri" w:ascii="Calibri" w:hAnsi="Calibri" w:asciiTheme="minorHAnsi" w:cstheme="minorHAnsi" w:hAnsiTheme="minorHAnsi"/>
          <w:i/>
          <w:iCs/>
          <w:sz w:val="22"/>
          <w:szCs w:val="22"/>
          <w:lang w:val="it-IT"/>
        </w:rPr>
        <w:t xml:space="preserve"> con nota protocollo - AOOSDSASVDVS - 00001793- Uscita – 19/06/2026 SDS ha chiesto di poter derogare per l’esercizio 2025 alle disposizioni della DGRT 834/2022,</w:t>
      </w:r>
      <w:r>
        <w:rPr>
          <w:rFonts w:cs="Calibri" w:ascii="Calibri" w:hAnsi="Calibri" w:asciiTheme="minorHAnsi" w:cstheme="minorHAnsi" w:hAnsiTheme="minorHAnsi"/>
          <w:sz w:val="22"/>
          <w:szCs w:val="22"/>
          <w:lang w:val="it-IT"/>
        </w:rPr>
        <w:t xml:space="preserve"> </w:t>
      </w:r>
      <w:r>
        <w:rPr>
          <w:rFonts w:cs="Calibri" w:ascii="Calibri" w:hAnsi="Calibri" w:asciiTheme="minorHAnsi" w:cstheme="minorHAnsi" w:hAnsiTheme="minorHAnsi"/>
          <w:color w:val="auto"/>
          <w:sz w:val="22"/>
          <w:szCs w:val="22"/>
          <w:lang w:val="it-IT"/>
        </w:rPr>
        <w:t>che prevedono l'utilizzo di schemi di bilancio regionali e principi contabili specifici in quanto ciò potrebbe generare un contrasto con le norme di formazione dei redditi d’impresa per il caso degli enti commerciali di cui all’art. 73, comma 1, lett. b) del dpr. 917/1986, mentre la deroga non determinerebbe alcun effetto negativo in merito alla trasparenza delle scritture contabili e delle evidenze secondo corretti principi di competenza economica per la rappresentazione delle poste relative ai contributi a favore del bilancio dell’esercizio.</w:t>
      </w:r>
    </w:p>
    <w:p>
      <w:pPr>
        <w:pStyle w:val="Default"/>
        <w:jc w:val="both"/>
        <w:rPr>
          <w:rFonts w:ascii="Calibri" w:hAnsi="Calibri" w:cs="Calibri" w:asciiTheme="minorHAnsi" w:cstheme="minorHAnsi" w:hAnsiTheme="minorHAnsi"/>
          <w:sz w:val="23"/>
          <w:szCs w:val="23"/>
          <w:lang w:val="it-IT"/>
        </w:rPr>
      </w:pPr>
      <w:r>
        <w:rPr>
          <w:rFonts w:cs="Calibri" w:cstheme="minorHAnsi" w:ascii="Calibri" w:hAnsi="Calibri"/>
          <w:sz w:val="23"/>
          <w:szCs w:val="23"/>
          <w:lang w:val="it-IT"/>
        </w:rPr>
      </w:r>
    </w:p>
    <w:p>
      <w:pPr>
        <w:pStyle w:val="Default"/>
        <w:jc w:val="both"/>
        <w:rPr>
          <w:rFonts w:ascii="Calibri" w:hAnsi="Calibri" w:cs="Calibri" w:asciiTheme="minorHAnsi" w:cstheme="minorHAnsi" w:hAnsiTheme="minorHAnsi"/>
          <w:sz w:val="22"/>
          <w:szCs w:val="22"/>
          <w:lang w:val="it-IT"/>
        </w:rPr>
      </w:pPr>
      <w:r>
        <w:rPr>
          <w:rFonts w:cs="Calibri" w:ascii="Calibri" w:hAnsi="Calibri" w:asciiTheme="minorHAnsi" w:cstheme="minorHAnsi" w:hAnsiTheme="minorHAnsi"/>
          <w:sz w:val="23"/>
          <w:szCs w:val="23"/>
          <w:lang w:val="it-IT"/>
        </w:rPr>
        <w:t xml:space="preserve">Con nota </w:t>
      </w:r>
      <w:r>
        <w:rPr>
          <w:rFonts w:cs="Calibri" w:ascii="Calibri" w:hAnsi="Calibri" w:asciiTheme="minorHAnsi" w:cstheme="minorHAnsi" w:hAnsiTheme="minorHAnsi"/>
          <w:sz w:val="22"/>
          <w:szCs w:val="22"/>
          <w:lang w:val="it-IT"/>
        </w:rPr>
        <w:t xml:space="preserve">protocollo </w:t>
      </w:r>
      <w:r>
        <w:rPr>
          <w:lang w:val="it-IT"/>
        </w:rPr>
        <w:t xml:space="preserve"> </w:t>
      </w:r>
      <w:r>
        <w:rPr>
          <w:rFonts w:ascii="Calibri" w:hAnsi="Calibri"/>
          <w:i/>
          <w:iCs/>
          <w:sz w:val="22"/>
          <w:szCs w:val="22"/>
          <w:lang w:val="it-IT"/>
        </w:rPr>
        <w:t>Prot. 1871 del 30 06 2026</w:t>
      </w:r>
      <w:r>
        <w:rPr>
          <w:rFonts w:cs="Calibri" w:ascii="Calibri" w:hAnsi="Calibri" w:asciiTheme="minorHAnsi" w:cstheme="minorHAnsi" w:hAnsiTheme="minorHAnsi"/>
          <w:color w:val="C9211E"/>
          <w:sz w:val="22"/>
          <w:szCs w:val="22"/>
          <w:lang w:val="it-IT"/>
        </w:rPr>
        <w:t xml:space="preserve"> </w:t>
      </w:r>
      <w:r>
        <w:rPr>
          <w:rFonts w:cs="Calibri" w:ascii="Calibri" w:hAnsi="Calibri" w:asciiTheme="minorHAnsi" w:cstheme="minorHAnsi" w:hAnsiTheme="minorHAnsi"/>
          <w:sz w:val="22"/>
          <w:szCs w:val="22"/>
          <w:lang w:val="it-IT"/>
        </w:rPr>
        <w:t xml:space="preserve">Regione Toscana ha </w:t>
      </w:r>
      <w:r>
        <w:rPr>
          <w:rFonts w:cs="Calibri" w:ascii="Calibri" w:hAnsi="Calibri" w:asciiTheme="minorHAnsi" w:cstheme="minorHAnsi" w:hAnsiTheme="minorHAnsi"/>
          <w:sz w:val="22"/>
          <w:szCs w:val="22"/>
          <w:lang w:val="it-IT"/>
        </w:rPr>
        <w:t xml:space="preserve">assentito alla richiesta di cui sopra detto, concedendo la deroga.  </w:t>
      </w:r>
    </w:p>
    <w:p>
      <w:pPr>
        <w:pStyle w:val="Default"/>
        <w:jc w:val="both"/>
        <w:rPr>
          <w:rFonts w:ascii="Calibri" w:hAnsi="Calibri" w:cs="Calibri" w:asciiTheme="minorHAnsi" w:cstheme="minorHAnsi" w:hAnsiTheme="minorHAnsi"/>
          <w:sz w:val="22"/>
          <w:szCs w:val="22"/>
          <w:lang w:val="it-IT"/>
        </w:rPr>
      </w:pPr>
      <w:r>
        <w:rPr>
          <w:rFonts w:cs="Calibri" w:cstheme="minorHAnsi" w:ascii="Calibri" w:hAnsi="Calibri"/>
          <w:sz w:val="22"/>
          <w:szCs w:val="22"/>
          <w:lang w:val="it-IT"/>
        </w:rPr>
      </w:r>
    </w:p>
    <w:p>
      <w:pPr>
        <w:pStyle w:val="Default"/>
        <w:jc w:val="both"/>
        <w:rPr>
          <w:rFonts w:ascii="Calibri" w:hAnsi="Calibri" w:cs="Calibri" w:asciiTheme="minorHAnsi" w:cstheme="minorHAnsi" w:hAnsiTheme="minorHAnsi"/>
          <w:sz w:val="22"/>
          <w:szCs w:val="22"/>
          <w:lang w:val="it-IT"/>
        </w:rPr>
      </w:pPr>
      <w:r>
        <w:rPr>
          <w:rFonts w:cs="Calibri" w:ascii="Calibri" w:hAnsi="Calibri" w:asciiTheme="minorHAnsi" w:cstheme="minorHAnsi" w:hAnsiTheme="minorHAnsi"/>
          <w:sz w:val="22"/>
          <w:szCs w:val="22"/>
          <w:lang w:val="it-IT"/>
        </w:rPr>
        <w:t>La SdS con VERBALE DI DELIBERAZIONE DELL'ASSEMBLEA DEI SOCI S.D.S. AMIATA SENESE E VAL D’ORCIA – VALDICHIANA SENESE N. 6, Adunanza del giorno 28/02/2024 “Atto di indirizzo in merito alla cancellazione della SdS dal Registro delle Imprese” ha dato avvio alla cancellazione della stessa dal suddetto registro.</w:t>
      </w:r>
    </w:p>
    <w:p>
      <w:pPr>
        <w:pStyle w:val="Default"/>
        <w:jc w:val="both"/>
        <w:rPr>
          <w:rFonts w:ascii="Calibri" w:hAnsi="Calibri" w:cs="Calibri" w:asciiTheme="minorHAnsi" w:cstheme="minorHAnsi" w:hAnsiTheme="minorHAnsi"/>
          <w:sz w:val="22"/>
          <w:szCs w:val="22"/>
          <w:lang w:val="it-IT"/>
        </w:rPr>
      </w:pPr>
      <w:r>
        <w:rPr>
          <w:rFonts w:cs="Calibri" w:cstheme="minorHAnsi" w:ascii="Calibri" w:hAnsi="Calibri"/>
          <w:sz w:val="22"/>
          <w:szCs w:val="22"/>
          <w:lang w:val="it-IT"/>
        </w:rPr>
      </w:r>
    </w:p>
    <w:p>
      <w:pPr>
        <w:pStyle w:val="Default"/>
        <w:jc w:val="both"/>
        <w:rPr>
          <w:rFonts w:ascii="Calibri" w:hAnsi="Calibri" w:cs="Calibri" w:asciiTheme="minorHAnsi" w:cstheme="minorHAnsi" w:hAnsiTheme="minorHAnsi"/>
          <w:sz w:val="22"/>
          <w:szCs w:val="22"/>
          <w:lang w:val="it-IT"/>
        </w:rPr>
      </w:pPr>
      <w:r>
        <w:rPr>
          <w:rFonts w:cs="Calibri" w:ascii="Calibri" w:hAnsi="Calibri" w:asciiTheme="minorHAnsi" w:cstheme="minorHAnsi" w:hAnsiTheme="minorHAnsi"/>
          <w:sz w:val="22"/>
          <w:szCs w:val="22"/>
          <w:lang w:val="it-IT"/>
        </w:rPr>
        <w:t xml:space="preserve">La SdS con VERBALE DI DELIBERAZIONE DELL'ASSEMBLEA DEI SOCI S.D.S. AMIATA SENESE e VAL D’ORCIA – VALDICHIANA SENESE N. 48 del 30/12/2024 “Inquadramento soggettivo a livello fiscale della Società della Salute Amiata Senese e Val d’Orcia – Valdichiana Senese – Cancellazione dal Registro delle imprese” ha rivalutato il proprio inquadramento a livello fiscale al fine della propria collocazione tra gli enti non commerciali in conformità agli indirizzi regionali, per lo meno rispetto a tale iscrizione e come manifestazione di specifica volontà di riclassificare la propria collocazione, e richiesto ed ottenuto la cancellazione dal Registro delle Imprese. </w:t>
      </w:r>
    </w:p>
    <w:p>
      <w:pPr>
        <w:pStyle w:val="Default"/>
        <w:jc w:val="both"/>
        <w:rPr>
          <w:rFonts w:ascii="Calibri" w:hAnsi="Calibri" w:cs="Calibri" w:asciiTheme="minorHAnsi" w:cstheme="minorHAnsi" w:hAnsiTheme="minorHAnsi"/>
          <w:sz w:val="22"/>
          <w:szCs w:val="22"/>
          <w:lang w:val="it-IT"/>
        </w:rPr>
      </w:pPr>
      <w:r>
        <w:rPr>
          <w:rFonts w:cs="Calibri" w:cstheme="minorHAnsi" w:ascii="Calibri" w:hAnsi="Calibri"/>
          <w:sz w:val="22"/>
          <w:szCs w:val="22"/>
          <w:lang w:val="it-IT"/>
        </w:rPr>
      </w:r>
    </w:p>
    <w:p>
      <w:pPr>
        <w:pStyle w:val="Normal"/>
        <w:suppressAutoHyphens w:val="false"/>
        <w:jc w:val="both"/>
        <w:rPr>
          <w:rFonts w:ascii="Calibri" w:hAnsi="Calibri" w:cs="Calibri" w:asciiTheme="minorHAnsi" w:cstheme="minorHAnsi" w:hAnsiTheme="minorHAnsi"/>
          <w:color w:val="000000"/>
          <w:sz w:val="22"/>
          <w:szCs w:val="22"/>
        </w:rPr>
      </w:pPr>
      <w:r>
        <w:rPr>
          <w:rFonts w:cs="Calibri" w:ascii="Calibri" w:hAnsi="Calibri" w:asciiTheme="minorHAnsi" w:cstheme="minorHAnsi" w:hAnsiTheme="minorHAnsi"/>
          <w:color w:val="000000"/>
          <w:sz w:val="22"/>
          <w:szCs w:val="22"/>
        </w:rPr>
        <w:t>Per le motivazioni esposte, tenuto conto della tempistica della risposta ricevuta da parte di Regione Toscana e degli atti della SDS in merito all’inquadramento fiscale, conformemente anche alla cancellazione dal registro delle imprese, la SDS ha dovuto mantenere anche per l’anno 2025 gli schemi di bilancio già in uso e ha dovuto mantenere la deroga all’applicazione della specifica casistica prevista per il trattamento degli accantonamenti delle quote di contributi non utilizzati seppure per il resto la SDS ha aderito puntualmente alle indicazioni dei principi regionali in materia contabile e di relativa reportistica. Ciò in quanto la variazione soggettiva dell’impostazione fiscale deve collegarsi all’annualità solare che corrisponde al periodo d’imposta. Con effetto dall’esercizio 2026 e quindi dall’annualità d’imposta corrispondente la SDS assumerà i procedimenti e l’impostazione tipica degli enti non commerciali pubblici valutando nello specifico le singole attività poste in essere in merito alla loro rilevanza agli effetti IVA e IRES.</w:t>
      </w:r>
    </w:p>
    <w:p>
      <w:pPr>
        <w:pStyle w:val="Normal"/>
        <w:suppressAutoHyphens w:val="false"/>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suppressAutoHyphens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Default"/>
        <w:jc w:val="both"/>
        <w:rPr>
          <w:rFonts w:ascii="Calibri" w:hAnsi="Calibri" w:cs="Calibri" w:asciiTheme="minorHAnsi" w:cstheme="minorHAnsi" w:hAnsiTheme="minorHAnsi"/>
          <w:sz w:val="22"/>
          <w:szCs w:val="22"/>
          <w:lang w:val="it-IT"/>
        </w:rPr>
      </w:pPr>
      <w:r>
        <w:rPr>
          <w:rFonts w:cs="Calibri" w:ascii="Calibri" w:hAnsi="Calibri" w:asciiTheme="minorHAnsi" w:cstheme="minorHAnsi" w:hAnsiTheme="minorHAnsi"/>
          <w:b/>
          <w:sz w:val="22"/>
          <w:szCs w:val="22"/>
          <w:lang w:val="it-IT"/>
        </w:rPr>
        <w:t>Principi di redazione del bilancio</w:t>
      </w:r>
    </w:p>
    <w:p>
      <w:pPr>
        <w:pStyle w:val="Standard"/>
        <w:widowControl w:val="false"/>
        <w:ind w:left="360" w:hanging="0"/>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Standard"/>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Nella redazione del Bilancio dell'esercizio in esame, sono stati osservati i principi generali previsti dall'art. 2423-bis del Codice Civile e precisamente:</w:t>
      </w:r>
    </w:p>
    <w:p>
      <w:pPr>
        <w:pStyle w:val="Standard"/>
        <w:widowControl w:val="false"/>
        <w:numPr>
          <w:ilvl w:val="0"/>
          <w:numId w:val="6"/>
        </w:numPr>
        <w:tabs>
          <w:tab w:val="left" w:pos="-1440" w:leader="none"/>
          <w:tab w:val="left" w:pos="720" w:leader="none"/>
          <w:tab w:val="center" w:pos="16558" w:leader="none"/>
          <w:tab w:val="right" w:pos="21236"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La valutazione delle voci dello Stato Patrimoniale è stata effettuata nel rispetto del principio di prudenza, sia nella determinazione del risultato economico della gestione, che nella determinazione della consistenza del patrimonio.</w:t>
      </w:r>
    </w:p>
    <w:p>
      <w:pPr>
        <w:pStyle w:val="Standard"/>
        <w:widowControl w:val="false"/>
        <w:numPr>
          <w:ilvl w:val="0"/>
          <w:numId w:val="6"/>
        </w:numPr>
        <w:tabs>
          <w:tab w:val="left" w:pos="-1440" w:leader="none"/>
          <w:tab w:val="left" w:pos="720" w:leader="none"/>
          <w:tab w:val="center" w:pos="16558" w:leader="none"/>
          <w:tab w:val="right" w:pos="21236"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 valori esposti tengono conto della prospettiva di continuazione dell'attività consortile.</w:t>
      </w:r>
    </w:p>
    <w:p>
      <w:pPr>
        <w:pStyle w:val="Standard"/>
        <w:widowControl w:val="false"/>
        <w:numPr>
          <w:ilvl w:val="0"/>
          <w:numId w:val="6"/>
        </w:numPr>
        <w:tabs>
          <w:tab w:val="left" w:pos="-1440" w:leader="none"/>
          <w:tab w:val="left" w:pos="720" w:leader="none"/>
          <w:tab w:val="center" w:pos="16558" w:leader="none"/>
          <w:tab w:val="right" w:pos="21236"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 proventi e gli oneri sono stati attribuiti all'esercizio applicando il principio di competenza, senza tenere conto della data di incasso dei proventi, né della data di pagamento degli oneri.</w:t>
      </w:r>
    </w:p>
    <w:p>
      <w:pPr>
        <w:pStyle w:val="Standard"/>
        <w:widowControl w:val="false"/>
        <w:numPr>
          <w:ilvl w:val="0"/>
          <w:numId w:val="6"/>
        </w:numPr>
        <w:tabs>
          <w:tab w:val="left" w:pos="-1440" w:leader="none"/>
          <w:tab w:val="left" w:pos="720" w:leader="none"/>
          <w:tab w:val="center" w:pos="16558" w:leader="none"/>
          <w:tab w:val="right" w:pos="21236"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Si è tenuto conto degli oneri e perdite di competenza dell'esercizio, venuti a conoscenza dopo la chiusura dell'esercizio consortile.</w:t>
      </w:r>
    </w:p>
    <w:p>
      <w:pPr>
        <w:pStyle w:val="Standard"/>
        <w:widowControl w:val="false"/>
        <w:numPr>
          <w:ilvl w:val="0"/>
          <w:numId w:val="6"/>
        </w:numPr>
        <w:tabs>
          <w:tab w:val="left" w:pos="-1440" w:leader="none"/>
          <w:tab w:val="left" w:pos="720" w:leader="none"/>
          <w:tab w:val="center" w:pos="16558" w:leader="none"/>
          <w:tab w:val="right" w:pos="21236"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 valori delle voci di bilancio dell’esercizio in corso sono perfettamente comparabili con quelle delle voci del bilancio dell’esercizio precedente.</w:t>
      </w:r>
    </w:p>
    <w:p>
      <w:pPr>
        <w:pStyle w:val="Standard"/>
        <w:widowControl w:val="false"/>
        <w:tabs>
          <w:tab w:val="clear" w:pos="720"/>
          <w:tab w:val="left" w:pos="0" w:leader="none"/>
          <w:tab w:val="left" w:pos="2160" w:leader="none"/>
          <w:tab w:val="center" w:pos="17998" w:leader="none"/>
          <w:tab w:val="right" w:pos="22676" w:leader="none"/>
        </w:tabs>
        <w:jc w:val="both"/>
        <w:rPr>
          <w:rFonts w:ascii="Calibri" w:hAnsi="Calibri" w:cs="Calibri" w:asciiTheme="minorHAnsi" w:cstheme="minorHAnsi" w:hAnsiTheme="minorHAnsi"/>
          <w:sz w:val="22"/>
          <w:szCs w:val="22"/>
        </w:rPr>
      </w:pPr>
      <w:r>
        <w:rPr>
          <w:rFonts w:eastAsia="Garamond" w:cs="Calibri" w:ascii="Calibri" w:hAnsi="Calibri" w:asciiTheme="minorHAnsi" w:cstheme="minorHAnsi" w:hAnsiTheme="minorHAnsi"/>
          <w:sz w:val="22"/>
          <w:szCs w:val="22"/>
        </w:rPr>
        <w:t xml:space="preserve"> </w:t>
      </w:r>
      <w:r>
        <w:rPr>
          <w:rFonts w:cs="Calibri" w:ascii="Calibri" w:hAnsi="Calibri" w:asciiTheme="minorHAnsi" w:cstheme="minorHAnsi" w:hAnsiTheme="minorHAnsi"/>
          <w:sz w:val="22"/>
          <w:szCs w:val="22"/>
        </w:rPr>
        <w:t>Non è stato necessario ricorrere alle deroghe previste dall’art. 2423 bis comma 2 del codice civile</w:t>
      </w:r>
    </w:p>
    <w:p>
      <w:pPr>
        <w:pStyle w:val="Standard"/>
        <w:widowControl w:val="false"/>
        <w:tabs>
          <w:tab w:val="clear" w:pos="720"/>
          <w:tab w:val="left" w:pos="2160" w:leader="none"/>
          <w:tab w:val="center" w:pos="17998" w:leader="none"/>
          <w:tab w:val="right" w:pos="22676"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in quanto i criteri applicati nella valutazione delle voci non hanno subito modifiche rispetto all’esercizio precedente.</w:t>
      </w:r>
    </w:p>
    <w:p>
      <w:pPr>
        <w:pStyle w:val="Standard"/>
        <w:widowControl w:val="false"/>
        <w:tabs>
          <w:tab w:val="clear" w:pos="720"/>
          <w:tab w:val="center" w:pos="5038" w:leader="none"/>
          <w:tab w:val="right" w:pos="9716"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Si passa ora alla trattazione degli elementi richiesti dall'art. 2427 C.C. tenendo conto delle speciali deroghe disposte dall'art. </w:t>
      </w:r>
      <w:r>
        <w:rPr>
          <w:rFonts w:cs="Calibri" w:ascii="Calibri" w:hAnsi="Calibri" w:asciiTheme="minorHAnsi" w:cstheme="minorHAnsi" w:hAnsiTheme="minorHAnsi"/>
          <w:sz w:val="22"/>
          <w:szCs w:val="22"/>
          <w:lang w:val="de-DE"/>
        </w:rPr>
        <w:t>2435 bis/3 c.c.</w:t>
      </w:r>
    </w:p>
    <w:p>
      <w:pPr>
        <w:pStyle w:val="Standard"/>
        <w:widowControl w:val="false"/>
        <w:tabs>
          <w:tab w:val="clear" w:pos="720"/>
          <w:tab w:val="center" w:pos="5038" w:leader="none"/>
          <w:tab w:val="right" w:pos="9716" w:leader="none"/>
        </w:tabs>
        <w:jc w:val="both"/>
        <w:rPr>
          <w:rFonts w:ascii="Calibri" w:hAnsi="Calibri" w:cs="Calibri" w:asciiTheme="minorHAnsi" w:cstheme="minorHAnsi" w:hAnsiTheme="minorHAnsi"/>
          <w:sz w:val="22"/>
          <w:szCs w:val="22"/>
          <w:lang w:val="de-DE"/>
        </w:rPr>
      </w:pPr>
      <w:r>
        <w:rPr>
          <w:rFonts w:cs="Calibri" w:cstheme="minorHAnsi" w:ascii="Calibri" w:hAnsi="Calibri"/>
          <w:sz w:val="22"/>
          <w:szCs w:val="22"/>
          <w:lang w:val="de-DE"/>
        </w:rPr>
      </w:r>
    </w:p>
    <w:p>
      <w:pPr>
        <w:pStyle w:val="Standard"/>
        <w:widowControl w:val="false"/>
        <w:numPr>
          <w:ilvl w:val="0"/>
          <w:numId w:val="7"/>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 xml:space="preserve">Criteri di valutazione </w:t>
      </w:r>
    </w:p>
    <w:p>
      <w:pPr>
        <w:pStyle w:val="Textbody"/>
        <w:widowControl w:val="false"/>
        <w:tabs>
          <w:tab w:val="clear" w:pos="720"/>
          <w:tab w:val="center" w:pos="5038" w:leader="none"/>
          <w:tab w:val="right" w:pos="9716" w:leader="none"/>
        </w:tabs>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kern w:val="2"/>
          <w:sz w:val="22"/>
          <w:szCs w:val="22"/>
        </w:rPr>
        <w:t>I criteri di valutazione adottati sono sintetizzati nella tabella che segue.</w:t>
      </w:r>
    </w:p>
    <w:p>
      <w:pPr>
        <w:pStyle w:val="Normal"/>
        <w:rPr>
          <w:rFonts w:ascii="Calibri" w:hAnsi="Calibri" w:cs="Calibri" w:asciiTheme="minorHAnsi" w:cstheme="minorHAnsi" w:hAnsiTheme="minorHAnsi"/>
          <w:kern w:val="2"/>
          <w:sz w:val="22"/>
          <w:szCs w:val="22"/>
        </w:rPr>
      </w:pPr>
      <w:r>
        <w:rPr>
          <w:rFonts w:cs="Calibri" w:cstheme="minorHAnsi" w:ascii="Calibri" w:hAnsi="Calibri"/>
          <w:kern w:val="2"/>
          <w:sz w:val="22"/>
          <w:szCs w:val="22"/>
        </w:rPr>
      </w:r>
    </w:p>
    <w:tbl>
      <w:tblPr>
        <w:tblW w:w="9543" w:type="dxa"/>
        <w:jc w:val="left"/>
        <w:tblInd w:w="221" w:type="dxa"/>
        <w:tblLayout w:type="fixed"/>
        <w:tblCellMar>
          <w:top w:w="0" w:type="dxa"/>
          <w:left w:w="108" w:type="dxa"/>
          <w:bottom w:w="0" w:type="dxa"/>
          <w:right w:w="108" w:type="dxa"/>
        </w:tblCellMar>
        <w:tblLook w:firstRow="0" w:noVBand="0" w:lastRow="0" w:firstColumn="0" w:lastColumn="0" w:noHBand="0" w:val="0000"/>
      </w:tblPr>
      <w:tblGrid>
        <w:gridCol w:w="2408"/>
        <w:gridCol w:w="7134"/>
      </w:tblGrid>
      <w:tr>
        <w:trPr>
          <w:tblHeader w:val="true"/>
          <w:trHeight w:val="23" w:hRule="atLeast"/>
        </w:trPr>
        <w:tc>
          <w:tcPr>
            <w:tcW w:w="2408" w:type="dxa"/>
            <w:tcBorders>
              <w:top w:val="single" w:sz="4" w:space="0" w:color="000000"/>
              <w:left w:val="single" w:sz="4" w:space="0" w:color="000000"/>
              <w:bottom w:val="single" w:sz="4" w:space="0" w:color="000000"/>
            </w:tcBorders>
          </w:tcPr>
          <w:p>
            <w:pPr>
              <w:pStyle w:val="Normal"/>
              <w:widowControl w:val="false"/>
              <w:snapToGrid w:val="false"/>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Posta di bilancio</w:t>
            </w:r>
          </w:p>
        </w:tc>
        <w:tc>
          <w:tcPr>
            <w:tcW w:w="71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Criterio di valutazione</w:t>
            </w:r>
          </w:p>
        </w:tc>
      </w:tr>
      <w:tr>
        <w:trPr>
          <w:trHeight w:val="23" w:hRule="atLeast"/>
        </w:trPr>
        <w:tc>
          <w:tcPr>
            <w:tcW w:w="2408" w:type="dxa"/>
            <w:tcBorders>
              <w:top w:val="single" w:sz="4" w:space="0" w:color="000000"/>
              <w:left w:val="single" w:sz="4" w:space="0" w:color="000000"/>
              <w:bottom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Immobilizzazioni immateriali</w:t>
            </w:r>
          </w:p>
        </w:tc>
        <w:tc>
          <w:tcPr>
            <w:tcW w:w="71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Sono iscritte al costo di acquisto o di produzione, inclusi i costi accessori. Sono esposte in bilancio al netto degli ammortamenti effettuati nel corso degli esercizi.</w:t>
            </w:r>
          </w:p>
          <w:p>
            <w:pPr>
              <w:pStyle w:val="Normal"/>
              <w:widowControl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La SDS si avvale della facoltà di applicare l’aliquota del 50% per il primo anno di ammortamento, nonché di ammortizzare completamente nel primo esercizio i beni con valore inferiore ad Euro 516,00.</w:t>
            </w:r>
          </w:p>
          <w:p>
            <w:pPr>
              <w:pStyle w:val="Normal"/>
              <w:widowControl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L’iscrizione tra le immobilizzazioni dei costi di impianto e di ampliamento, di ricerca e sviluppo avviene con il consenso del collegio sindacale.</w:t>
            </w:r>
          </w:p>
        </w:tc>
      </w:tr>
      <w:tr>
        <w:trPr>
          <w:trHeight w:val="23" w:hRule="atLeast"/>
        </w:trPr>
        <w:tc>
          <w:tcPr>
            <w:tcW w:w="2408" w:type="dxa"/>
            <w:tcBorders>
              <w:top w:val="single" w:sz="4" w:space="0" w:color="000000"/>
              <w:left w:val="single" w:sz="4" w:space="0" w:color="000000"/>
              <w:bottom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Immobilizzazioni materiali</w:t>
            </w:r>
          </w:p>
        </w:tc>
        <w:tc>
          <w:tcPr>
            <w:tcW w:w="71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Sono iscritte al costo di acquisto o di produzione, inclusi i costi accessori. Sono esposte in bilancio al netto dei relativi fondi di ammortamento. Le aliquote di ammortamento sono indicate nelle sezioni successive.</w:t>
            </w:r>
          </w:p>
          <w:p>
            <w:pPr>
              <w:pStyle w:val="Normal"/>
              <w:widowControl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La SDS si avvale della facoltà di applicare l’aliquota del 50% per il primo anno di ammortamento, nonché di ammortizzare completamente nel primo esercizio i beni con valore inferiore ad Euro 516,00.</w:t>
            </w:r>
          </w:p>
        </w:tc>
      </w:tr>
      <w:tr>
        <w:trPr>
          <w:trHeight w:val="23" w:hRule="atLeast"/>
        </w:trPr>
        <w:tc>
          <w:tcPr>
            <w:tcW w:w="2408" w:type="dxa"/>
            <w:tcBorders>
              <w:top w:val="single" w:sz="4" w:space="0" w:color="000000"/>
              <w:left w:val="single" w:sz="4" w:space="0" w:color="000000"/>
              <w:bottom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Titoli</w:t>
            </w:r>
          </w:p>
        </w:tc>
        <w:tc>
          <w:tcPr>
            <w:tcW w:w="71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Sono iscritti al minor valore tra il prezzo d’acquisto e quanto è possibile realizzare sulla base dell’andamento del mercato. Non presenti.</w:t>
            </w:r>
          </w:p>
        </w:tc>
      </w:tr>
      <w:tr>
        <w:trPr>
          <w:trHeight w:val="23" w:hRule="atLeast"/>
        </w:trPr>
        <w:tc>
          <w:tcPr>
            <w:tcW w:w="2408" w:type="dxa"/>
            <w:tcBorders>
              <w:top w:val="single" w:sz="4" w:space="0" w:color="000000"/>
              <w:left w:val="single" w:sz="4" w:space="0" w:color="000000"/>
              <w:bottom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Partecipazioni</w:t>
            </w:r>
          </w:p>
        </w:tc>
        <w:tc>
          <w:tcPr>
            <w:tcW w:w="71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Sono iscritte al costo di acquisto o di sottoscrizione, eventualmente rettificato per riflettere perdite permanenti di valore. Tale minor valore non verrà mantenuto negli esercizi successivi qualora vengano meno le ragioni della svalutazione effettuata.  Non presenti</w:t>
            </w:r>
          </w:p>
        </w:tc>
      </w:tr>
      <w:tr>
        <w:trPr>
          <w:trHeight w:val="23" w:hRule="atLeast"/>
        </w:trPr>
        <w:tc>
          <w:tcPr>
            <w:tcW w:w="2408" w:type="dxa"/>
            <w:tcBorders>
              <w:top w:val="single" w:sz="4" w:space="0" w:color="000000"/>
              <w:left w:val="single" w:sz="4" w:space="0" w:color="000000"/>
              <w:bottom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Rimanenze</w:t>
            </w:r>
          </w:p>
        </w:tc>
        <w:tc>
          <w:tcPr>
            <w:tcW w:w="71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Sono iscritte al minore tra costo di acquisto o di produzione e valore desumibile dall’andamento del mercato. Per i beni fungibili il costo è calcolato con il metodo della media ponderata. Non presenti</w:t>
            </w:r>
          </w:p>
        </w:tc>
      </w:tr>
      <w:tr>
        <w:trPr>
          <w:trHeight w:val="23" w:hRule="atLeast"/>
        </w:trPr>
        <w:tc>
          <w:tcPr>
            <w:tcW w:w="2408" w:type="dxa"/>
            <w:tcBorders>
              <w:top w:val="single" w:sz="4" w:space="0" w:color="000000"/>
              <w:left w:val="single" w:sz="4" w:space="0" w:color="000000"/>
              <w:bottom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Crediti</w:t>
            </w:r>
          </w:p>
        </w:tc>
        <w:tc>
          <w:tcPr>
            <w:tcW w:w="71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Sono esposti al presumibile valore di realizzo. L’adeguamento del valore nominale dei crediti al valore presunto di realizzo è ottenuto mediante apposito fondo al fine di tener conto dei rischi di inesigibilità.</w:t>
            </w:r>
          </w:p>
        </w:tc>
      </w:tr>
      <w:tr>
        <w:trPr>
          <w:trHeight w:val="23" w:hRule="atLeast"/>
        </w:trPr>
        <w:tc>
          <w:tcPr>
            <w:tcW w:w="2408" w:type="dxa"/>
            <w:tcBorders>
              <w:top w:val="single" w:sz="4" w:space="0" w:color="000000"/>
              <w:left w:val="single" w:sz="4" w:space="0" w:color="000000"/>
              <w:bottom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Disponibilità liquide</w:t>
            </w:r>
          </w:p>
        </w:tc>
        <w:tc>
          <w:tcPr>
            <w:tcW w:w="71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Sono iscritte in bilancio al loro valore nominale.</w:t>
            </w:r>
          </w:p>
        </w:tc>
      </w:tr>
      <w:tr>
        <w:trPr>
          <w:trHeight w:val="23" w:hRule="atLeast"/>
        </w:trPr>
        <w:tc>
          <w:tcPr>
            <w:tcW w:w="2408" w:type="dxa"/>
            <w:tcBorders>
              <w:top w:val="single" w:sz="4" w:space="0" w:color="000000"/>
              <w:left w:val="single" w:sz="4" w:space="0" w:color="000000"/>
              <w:bottom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Ratei e risconti</w:t>
            </w:r>
          </w:p>
        </w:tc>
        <w:tc>
          <w:tcPr>
            <w:tcW w:w="71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Sono determinati in proporzione al periodo temporale di competenza del costo o del ricavo comune a due o più esercizi.</w:t>
            </w:r>
          </w:p>
        </w:tc>
      </w:tr>
      <w:tr>
        <w:trPr>
          <w:trHeight w:val="23" w:hRule="atLeast"/>
        </w:trPr>
        <w:tc>
          <w:tcPr>
            <w:tcW w:w="2408" w:type="dxa"/>
            <w:tcBorders>
              <w:top w:val="single" w:sz="4" w:space="0" w:color="000000"/>
              <w:left w:val="single" w:sz="4" w:space="0" w:color="000000"/>
              <w:bottom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Patrimonio netto</w:t>
            </w:r>
          </w:p>
        </w:tc>
        <w:tc>
          <w:tcPr>
            <w:tcW w:w="71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 contributi in conto capitale sono rilevati in base agli atti di attribuzione degli stessi. L’ammortamento dei cespiti acquistati mediante contributi in conto capitale viene sterilizzato mediante utilizzo del contributo relativo.</w:t>
            </w:r>
          </w:p>
        </w:tc>
      </w:tr>
      <w:tr>
        <w:trPr>
          <w:trHeight w:val="23" w:hRule="atLeast"/>
        </w:trPr>
        <w:tc>
          <w:tcPr>
            <w:tcW w:w="2408" w:type="dxa"/>
            <w:tcBorders>
              <w:top w:val="single" w:sz="4" w:space="0" w:color="000000"/>
              <w:left w:val="single" w:sz="4" w:space="0" w:color="000000"/>
              <w:bottom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Fondi per rischi e oneri</w:t>
            </w:r>
          </w:p>
        </w:tc>
        <w:tc>
          <w:tcPr>
            <w:tcW w:w="71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Sono stanziati per coprire perdite o debiti di esistenza certa o probabile, dei quali tuttavia alla chiusura dell’esercizio non erano determinabili l’ammontare o la data di sopravvenienza. Nella valutazione di tali fondi sono stati rispettati i criteri generali di prudenza e competenza e non si è proceduto alla costituzione di fondi rischi generici privi di giustificazione economica.</w:t>
            </w:r>
          </w:p>
        </w:tc>
      </w:tr>
      <w:tr>
        <w:trPr>
          <w:trHeight w:val="23" w:hRule="atLeast"/>
        </w:trPr>
        <w:tc>
          <w:tcPr>
            <w:tcW w:w="2408" w:type="dxa"/>
            <w:tcBorders>
              <w:top w:val="single" w:sz="4" w:space="0" w:color="000000"/>
              <w:left w:val="single" w:sz="4" w:space="0" w:color="000000"/>
              <w:bottom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Premio operosità Medici SUMAI</w:t>
            </w:r>
          </w:p>
        </w:tc>
        <w:tc>
          <w:tcPr>
            <w:tcW w:w="71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Non presente.</w:t>
            </w:r>
          </w:p>
        </w:tc>
      </w:tr>
      <w:tr>
        <w:trPr>
          <w:trHeight w:val="23" w:hRule="atLeast"/>
        </w:trPr>
        <w:tc>
          <w:tcPr>
            <w:tcW w:w="2408" w:type="dxa"/>
            <w:tcBorders>
              <w:top w:val="single" w:sz="4" w:space="0" w:color="000000"/>
              <w:left w:val="single" w:sz="4" w:space="0" w:color="000000"/>
              <w:bottom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TFR</w:t>
            </w:r>
          </w:p>
        </w:tc>
        <w:tc>
          <w:tcPr>
            <w:tcW w:w="71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La SDS non ha fondi TFR.</w:t>
            </w:r>
          </w:p>
        </w:tc>
      </w:tr>
      <w:tr>
        <w:trPr>
          <w:trHeight w:val="23" w:hRule="atLeast"/>
        </w:trPr>
        <w:tc>
          <w:tcPr>
            <w:tcW w:w="2408" w:type="dxa"/>
            <w:tcBorders>
              <w:top w:val="single" w:sz="4" w:space="0" w:color="000000"/>
              <w:left w:val="single" w:sz="4" w:space="0" w:color="000000"/>
              <w:bottom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Debiti</w:t>
            </w:r>
          </w:p>
        </w:tc>
        <w:tc>
          <w:tcPr>
            <w:tcW w:w="71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Sono rilevati al loro valore nominale.</w:t>
            </w:r>
          </w:p>
        </w:tc>
      </w:tr>
      <w:tr>
        <w:trPr>
          <w:trHeight w:val="23" w:hRule="atLeast"/>
        </w:trPr>
        <w:tc>
          <w:tcPr>
            <w:tcW w:w="2408" w:type="dxa"/>
            <w:tcBorders>
              <w:top w:val="single" w:sz="4" w:space="0" w:color="000000"/>
              <w:left w:val="single" w:sz="4" w:space="0" w:color="000000"/>
              <w:bottom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Ricavi e costi</w:t>
            </w:r>
          </w:p>
        </w:tc>
        <w:tc>
          <w:tcPr>
            <w:tcW w:w="71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Sono rilevati secondo i principi della prudenza e della competenza economica, anche mediante l’iscrizione dei relativi ratei e risconti.</w:t>
            </w:r>
          </w:p>
        </w:tc>
      </w:tr>
      <w:tr>
        <w:trPr>
          <w:trHeight w:val="23" w:hRule="atLeast"/>
        </w:trPr>
        <w:tc>
          <w:tcPr>
            <w:tcW w:w="2408" w:type="dxa"/>
            <w:tcBorders>
              <w:top w:val="single" w:sz="4" w:space="0" w:color="000000"/>
              <w:left w:val="single" w:sz="4" w:space="0" w:color="000000"/>
              <w:bottom w:val="single" w:sz="4" w:space="0" w:color="000000"/>
            </w:tcBorders>
          </w:tcPr>
          <w:p>
            <w:pPr>
              <w:pStyle w:val="Normal"/>
              <w:widowControl w:val="false"/>
              <w:snapToGrid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Imposte sul reddito</w:t>
            </w:r>
          </w:p>
        </w:tc>
        <w:tc>
          <w:tcPr>
            <w:tcW w:w="713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Sono determinate secondo le norme e le aliquote vigenti</w:t>
            </w:r>
            <w:r>
              <w:rPr>
                <w:rFonts w:eastAsia="Lucida Sans Unicode" w:cs="Calibri" w:ascii="Calibri" w:hAnsi="Calibri" w:asciiTheme="minorHAnsi" w:cstheme="minorHAnsi" w:hAnsiTheme="minorHAnsi"/>
                <w:kern w:val="2"/>
                <w:sz w:val="22"/>
                <w:szCs w:val="22"/>
                <w:lang w:eastAsia="hi-IN"/>
              </w:rPr>
              <w:t>.</w:t>
            </w:r>
          </w:p>
        </w:tc>
      </w:tr>
    </w:tbl>
    <w:p>
      <w:pPr>
        <w:pStyle w:val="WW-Rientronormale"/>
        <w:widowControl w:val="false"/>
        <w:ind w:left="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Rientronormale"/>
        <w:widowControl w:val="false"/>
        <w:numPr>
          <w:ilvl w:val="0"/>
          <w:numId w:val="7"/>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 xml:space="preserve">STATO PATRIMONIALE </w:t>
      </w:r>
    </w:p>
    <w:p>
      <w:pPr>
        <w:pStyle w:val="WW-Rientronormale"/>
        <w:widowControl w:val="false"/>
        <w:ind w:left="72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Rientronormale"/>
        <w:widowControl w:val="false"/>
        <w:ind w:left="360"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 xml:space="preserve">ATTIVITA’ </w:t>
      </w:r>
    </w:p>
    <w:p>
      <w:pPr>
        <w:pStyle w:val="WW-Rientronormale"/>
        <w:widowControl w:val="false"/>
        <w:ind w:left="360" w:hanging="0"/>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WW-Rientronormale"/>
        <w:widowControl w:val="false"/>
        <w:ind w:left="360"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i/>
          <w:sz w:val="22"/>
          <w:szCs w:val="22"/>
        </w:rPr>
        <w:t>IMMOBILIZZAZIONI</w:t>
      </w:r>
    </w:p>
    <w:p>
      <w:pPr>
        <w:pStyle w:val="WW-Rientronormale"/>
        <w:widowControl w:val="false"/>
        <w:ind w:left="360" w:hanging="0"/>
        <w:jc w:val="both"/>
        <w:rPr>
          <w:rFonts w:ascii="Calibri" w:hAnsi="Calibri" w:cs="Calibri" w:asciiTheme="minorHAnsi" w:cstheme="minorHAnsi" w:hAnsiTheme="minorHAnsi"/>
          <w:b/>
          <w:i/>
          <w:i/>
          <w:sz w:val="22"/>
          <w:szCs w:val="22"/>
        </w:rPr>
      </w:pPr>
      <w:r>
        <w:rPr>
          <w:rFonts w:cs="Calibri" w:cstheme="minorHAnsi" w:ascii="Calibri" w:hAnsi="Calibri"/>
          <w:b/>
          <w:i/>
          <w:sz w:val="22"/>
          <w:szCs w:val="22"/>
        </w:rPr>
      </w:r>
    </w:p>
    <w:p>
      <w:pPr>
        <w:pStyle w:val="Titolo4"/>
        <w:widowControl w:val="false"/>
        <w:numPr>
          <w:ilvl w:val="3"/>
          <w:numId w:val="1"/>
        </w:numPr>
        <w:tabs>
          <w:tab w:val="clear" w:pos="720"/>
          <w:tab w:val="left" w:pos="0"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i/>
          <w:sz w:val="22"/>
          <w:szCs w:val="22"/>
          <w:shd w:fill="FFFFFF" w:val="clear"/>
        </w:rPr>
        <w:t>I. Immobilizzazioni immateriali</w:t>
      </w:r>
    </w:p>
    <w:p>
      <w:pPr>
        <w:pStyle w:val="Titolo4"/>
        <w:widowControl w:val="false"/>
        <w:numPr>
          <w:ilvl w:val="3"/>
          <w:numId w:val="1"/>
        </w:numPr>
        <w:tabs>
          <w:tab w:val="clear" w:pos="720"/>
          <w:tab w:val="left" w:pos="0" w:leader="none"/>
        </w:tabs>
        <w:jc w:val="both"/>
        <w:rPr>
          <w:rFonts w:ascii="Calibri" w:hAnsi="Calibri" w:cs="Calibri" w:asciiTheme="minorHAnsi" w:cstheme="minorHAnsi" w:hAnsiTheme="minorHAnsi"/>
          <w:sz w:val="22"/>
          <w:szCs w:val="22"/>
        </w:rPr>
      </w:pPr>
      <w:r>
        <w:rPr>
          <w:rFonts w:cs="Calibri" w:cstheme="minorHAnsi" w:ascii="Calibri" w:hAnsi="Calibri"/>
          <w:sz w:val="22"/>
          <w:szCs w:val="22"/>
        </w:rPr>
      </w:r>
    </w:p>
    <w:tbl>
      <w:tblPr>
        <w:tblW w:w="6960" w:type="dxa"/>
        <w:jc w:val="left"/>
        <w:tblInd w:w="151" w:type="dxa"/>
        <w:tblLayout w:type="fixed"/>
        <w:tblCellMar>
          <w:top w:w="0" w:type="dxa"/>
          <w:left w:w="70" w:type="dxa"/>
          <w:bottom w:w="0" w:type="dxa"/>
          <w:right w:w="70" w:type="dxa"/>
        </w:tblCellMar>
        <w:tblLook w:firstRow="1" w:noVBand="1" w:lastRow="0" w:firstColumn="1" w:lastColumn="0" w:noHBand="0" w:val="04a0"/>
      </w:tblPr>
      <w:tblGrid>
        <w:gridCol w:w="2689"/>
        <w:gridCol w:w="2551"/>
        <w:gridCol w:w="1720"/>
      </w:tblGrid>
      <w:tr>
        <w:trPr>
          <w:trHeight w:val="20" w:hRule="atLeast"/>
        </w:trPr>
        <w:tc>
          <w:tcPr>
            <w:tcW w:w="2689"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Saldo al 31/12/2025</w:t>
            </w:r>
          </w:p>
        </w:tc>
        <w:tc>
          <w:tcPr>
            <w:tcW w:w="2551" w:type="dxa"/>
            <w:tcBorders>
              <w:top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Saldo al 31/12/2024</w:t>
            </w:r>
          </w:p>
        </w:tc>
        <w:tc>
          <w:tcPr>
            <w:tcW w:w="1720" w:type="dxa"/>
            <w:tcBorders>
              <w:top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Variazioni</w:t>
            </w:r>
          </w:p>
        </w:tc>
      </w:tr>
      <w:tr>
        <w:trPr>
          <w:trHeight w:val="20" w:hRule="atLeast"/>
        </w:trPr>
        <w:tc>
          <w:tcPr>
            <w:tcW w:w="2689" w:type="dxa"/>
            <w:tcBorders>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c>
          <w:tcPr>
            <w:tcW w:w="255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c>
          <w:tcPr>
            <w:tcW w:w="172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r>
    </w:tbl>
    <w:p>
      <w:pPr>
        <w:pStyle w:val="Titolo4"/>
        <w:widowControl w:val="false"/>
        <w:numPr>
          <w:ilvl w:val="3"/>
          <w:numId w:val="1"/>
        </w:numPr>
        <w:tabs>
          <w:tab w:val="clear" w:pos="720"/>
          <w:tab w:val="left" w:pos="0" w:leader="none"/>
        </w:tabs>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Titolo4"/>
        <w:widowControl w:val="false"/>
        <w:numPr>
          <w:ilvl w:val="3"/>
          <w:numId w:val="1"/>
        </w:numPr>
        <w:tabs>
          <w:tab w:val="clear" w:pos="720"/>
          <w:tab w:val="left" w:pos="0"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kern w:val="2"/>
          <w:sz w:val="22"/>
          <w:szCs w:val="22"/>
        </w:rPr>
        <w:t>Le immobilizzazioni immateriali sono attività normalmente caratterizzate dalla mancanza di tangibilità. Esse sono costituite da costi che non esauriscono la loro utilità in un solo periodo, ma manifestano i benefici economici lungo un arco temporale di più esercizi.</w:t>
      </w:r>
    </w:p>
    <w:p>
      <w:pPr>
        <w:pStyle w:val="Titolo5"/>
        <w:widowControl w:val="false"/>
        <w:numPr>
          <w:ilvl w:val="4"/>
          <w:numId w:val="1"/>
        </w:numPr>
        <w:tabs>
          <w:tab w:val="clear" w:pos="720"/>
          <w:tab w:val="left" w:pos="0" w:leader="none"/>
        </w:tabs>
        <w:rPr>
          <w:rFonts w:ascii="Calibri" w:hAnsi="Calibri" w:cs="Calibri" w:asciiTheme="minorHAnsi" w:cstheme="minorHAnsi" w:hAnsiTheme="minorHAnsi"/>
          <w:sz w:val="22"/>
          <w:szCs w:val="22"/>
        </w:rPr>
      </w:pPr>
      <w:r>
        <w:rPr>
          <w:rFonts w:cs="Calibri" w:ascii="Calibri" w:hAnsi="Calibri" w:asciiTheme="minorHAnsi" w:cstheme="minorHAnsi" w:hAnsiTheme="minorHAnsi"/>
          <w:kern w:val="2"/>
          <w:sz w:val="22"/>
          <w:szCs w:val="22"/>
          <w:u w:val="none"/>
        </w:rPr>
        <w:t>Le spese per immobilizzazioni immateriali sono iscritte all’attivo in quanto aventi utilità pluriennale e vengono progressivamente stimati i valori dei costi ed incrementati i relativi fondi fino al raggiungimento dell’integrale ammortamento della spesa.</w:t>
      </w:r>
    </w:p>
    <w:p>
      <w:pPr>
        <w:pStyle w:val="Standard"/>
        <w:widowControl w:val="false"/>
        <w:numPr>
          <w:ilvl w:val="0"/>
          <w:numId w:val="2"/>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Nella seguente tabella sono riportate le movimentazioni che hanno interessato tali beni. </w:t>
      </w:r>
    </w:p>
    <w:p>
      <w:pPr>
        <w:pStyle w:val="Standard"/>
        <w:widowControl w:val="false"/>
        <w:rPr>
          <w:rFonts w:ascii="Calibri" w:hAnsi="Calibri" w:cs="Calibri" w:asciiTheme="minorHAnsi" w:cstheme="minorHAnsi" w:hAnsiTheme="minorHAnsi"/>
          <w:sz w:val="22"/>
          <w:szCs w:val="22"/>
        </w:rPr>
      </w:pPr>
      <w:r>
        <w:rPr>
          <w:rFonts w:cs="Calibri" w:cstheme="minorHAnsi" w:ascii="Calibri" w:hAnsi="Calibri"/>
          <w:sz w:val="22"/>
          <w:szCs w:val="22"/>
        </w:rPr>
      </w:r>
    </w:p>
    <w:p>
      <w:pPr>
        <w:pStyle w:val="Standard"/>
        <w:widowControl w:val="false"/>
        <w:rPr>
          <w:rFonts w:ascii="Calibri" w:hAnsi="Calibri" w:cs="Calibri" w:asciiTheme="minorHAnsi" w:cstheme="minorHAnsi" w:hAnsiTheme="minorHAnsi"/>
          <w:sz w:val="22"/>
          <w:szCs w:val="22"/>
        </w:rPr>
      </w:pPr>
      <w:r>
        <w:rPr>
          <w:rFonts w:cs="Calibri" w:cstheme="minorHAnsi" w:ascii="Calibri" w:hAnsi="Calibri"/>
          <w:sz w:val="22"/>
          <w:szCs w:val="22"/>
        </w:rPr>
      </w:r>
    </w:p>
    <w:p>
      <w:pPr>
        <w:pStyle w:val="Standard"/>
        <w:widowControl w:val="false"/>
        <w:rPr>
          <w:rFonts w:ascii="Calibri" w:hAnsi="Calibri" w:cs="Calibri" w:asciiTheme="minorHAnsi" w:cstheme="minorHAnsi" w:hAnsiTheme="minorHAnsi"/>
          <w:sz w:val="22"/>
          <w:szCs w:val="22"/>
        </w:rPr>
      </w:pPr>
      <w:r>
        <w:rPr>
          <w:rFonts w:cs="Calibri" w:cstheme="minorHAnsi" w:ascii="Calibri" w:hAnsi="Calibri"/>
          <w:sz w:val="22"/>
          <w:szCs w:val="22"/>
        </w:rPr>
      </w:r>
    </w:p>
    <w:p>
      <w:pPr>
        <w:pStyle w:val="Standard"/>
        <w:widowControl w:val="false"/>
        <w:rPr>
          <w:rFonts w:ascii="Calibri" w:hAnsi="Calibri" w:cs="Calibri" w:asciiTheme="minorHAnsi" w:cstheme="minorHAnsi" w:hAnsiTheme="minorHAnsi"/>
          <w:sz w:val="22"/>
          <w:szCs w:val="22"/>
        </w:rPr>
      </w:pPr>
      <w:r>
        <w:rPr>
          <w:rFonts w:cs="Calibri" w:cstheme="minorHAnsi" w:ascii="Calibri" w:hAnsi="Calibri"/>
          <w:sz w:val="22"/>
          <w:szCs w:val="22"/>
        </w:rPr>
      </w:r>
    </w:p>
    <w:p>
      <w:pPr>
        <w:pStyle w:val="Standard"/>
        <w:widowControl w:val="false"/>
        <w:rPr>
          <w:rFonts w:ascii="Calibri" w:hAnsi="Calibri" w:cs="Calibri" w:asciiTheme="minorHAnsi" w:cstheme="minorHAnsi" w:hAnsiTheme="minorHAnsi"/>
          <w:sz w:val="22"/>
          <w:szCs w:val="22"/>
        </w:rPr>
      </w:pPr>
      <w:r>
        <w:rPr>
          <w:rFonts w:cs="Calibri" w:cstheme="minorHAnsi" w:ascii="Calibri" w:hAnsi="Calibri"/>
          <w:sz w:val="22"/>
          <w:szCs w:val="22"/>
        </w:rPr>
      </w:r>
    </w:p>
    <w:p>
      <w:pPr>
        <w:pStyle w:val="Titolo5"/>
        <w:widowControl w:val="false"/>
        <w:numPr>
          <w:ilvl w:val="3"/>
          <w:numId w:val="1"/>
        </w:numPr>
        <w:rPr>
          <w:rFonts w:ascii="Calibri" w:hAnsi="Calibri" w:cs="Calibri" w:asciiTheme="minorHAnsi" w:cstheme="minorHAnsi" w:hAnsiTheme="minorHAnsi"/>
          <w:sz w:val="22"/>
          <w:szCs w:val="22"/>
        </w:rPr>
      </w:pPr>
      <w:r>
        <w:rPr>
          <w:rFonts w:cs="Calibri" w:cstheme="minorHAnsi" w:ascii="Calibri" w:hAnsi="Calibri"/>
          <w:sz w:val="22"/>
          <w:szCs w:val="22"/>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1839"/>
        <w:gridCol w:w="1024"/>
        <w:gridCol w:w="966"/>
        <w:gridCol w:w="841"/>
        <w:gridCol w:w="937"/>
        <w:gridCol w:w="993"/>
        <w:gridCol w:w="933"/>
        <w:gridCol w:w="1063"/>
        <w:gridCol w:w="1041"/>
      </w:tblGrid>
      <w:tr>
        <w:trPr>
          <w:tblHeader w:val="true"/>
          <w:trHeight w:val="20" w:hRule="atLeast"/>
        </w:trPr>
        <w:tc>
          <w:tcPr>
            <w:tcW w:w="9637" w:type="dxa"/>
            <w:gridSpan w:val="9"/>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Immobilizzazioni immateriali</w:t>
            </w:r>
          </w:p>
        </w:tc>
      </w:tr>
      <w:tr>
        <w:trPr>
          <w:tblHeader w:val="true"/>
          <w:trHeight w:val="20" w:hRule="atLeast"/>
        </w:trPr>
        <w:tc>
          <w:tcPr>
            <w:tcW w:w="1839" w:type="dxa"/>
            <w:tcBorders>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Descrizione</w:t>
            </w:r>
          </w:p>
        </w:tc>
        <w:tc>
          <w:tcPr>
            <w:tcW w:w="1024"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 xml:space="preserve"> </w:t>
            </w:r>
            <w:r>
              <w:rPr>
                <w:rFonts w:cs="Calibri" w:ascii="Calibri" w:hAnsi="Calibri" w:asciiTheme="minorHAnsi" w:cstheme="minorHAnsi" w:hAnsiTheme="minorHAnsi"/>
                <w:b/>
                <w:bCs/>
                <w:i/>
                <w:iCs/>
                <w:color w:val="000000"/>
                <w:sz w:val="18"/>
                <w:szCs w:val="18"/>
                <w:lang w:eastAsia="it-IT"/>
              </w:rPr>
              <w:t>Costo storico</w:t>
            </w:r>
          </w:p>
        </w:tc>
        <w:tc>
          <w:tcPr>
            <w:tcW w:w="966"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Fondo ammortamento</w:t>
            </w:r>
          </w:p>
        </w:tc>
        <w:tc>
          <w:tcPr>
            <w:tcW w:w="841"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 xml:space="preserve"> </w:t>
            </w:r>
            <w:r>
              <w:rPr>
                <w:rFonts w:cs="Calibri" w:ascii="Calibri" w:hAnsi="Calibri" w:asciiTheme="minorHAnsi" w:cstheme="minorHAnsi" w:hAnsiTheme="minorHAnsi"/>
                <w:b/>
                <w:bCs/>
                <w:i/>
                <w:iCs/>
                <w:color w:val="000000"/>
                <w:sz w:val="18"/>
                <w:szCs w:val="18"/>
                <w:lang w:eastAsia="it-IT"/>
              </w:rPr>
              <w:t>Incrementi esercizio</w:t>
            </w:r>
          </w:p>
        </w:tc>
        <w:tc>
          <w:tcPr>
            <w:tcW w:w="937"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 xml:space="preserve"> </w:t>
            </w:r>
            <w:r>
              <w:rPr>
                <w:rFonts w:cs="Calibri" w:ascii="Calibri" w:hAnsi="Calibri" w:asciiTheme="minorHAnsi" w:cstheme="minorHAnsi" w:hAnsiTheme="minorHAnsi"/>
                <w:b/>
                <w:bCs/>
                <w:i/>
                <w:iCs/>
                <w:color w:val="000000"/>
                <w:sz w:val="18"/>
                <w:szCs w:val="18"/>
                <w:lang w:eastAsia="it-IT"/>
              </w:rPr>
              <w:t>Decrementi esercizio</w:t>
            </w:r>
          </w:p>
        </w:tc>
        <w:tc>
          <w:tcPr>
            <w:tcW w:w="993"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 xml:space="preserve"> </w:t>
            </w:r>
            <w:r>
              <w:rPr>
                <w:rFonts w:cs="Calibri" w:ascii="Calibri" w:hAnsi="Calibri" w:asciiTheme="minorHAnsi" w:cstheme="minorHAnsi" w:hAnsiTheme="minorHAnsi"/>
                <w:b/>
                <w:bCs/>
                <w:i/>
                <w:iCs/>
                <w:color w:val="000000"/>
                <w:sz w:val="18"/>
                <w:szCs w:val="18"/>
                <w:lang w:eastAsia="it-IT"/>
              </w:rPr>
              <w:t>Rivalutazioni</w:t>
            </w:r>
          </w:p>
        </w:tc>
        <w:tc>
          <w:tcPr>
            <w:tcW w:w="933"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 xml:space="preserve"> </w:t>
            </w:r>
            <w:r>
              <w:rPr>
                <w:rFonts w:cs="Calibri" w:ascii="Calibri" w:hAnsi="Calibri" w:asciiTheme="minorHAnsi" w:cstheme="minorHAnsi" w:hAnsiTheme="minorHAnsi"/>
                <w:b/>
                <w:bCs/>
                <w:i/>
                <w:iCs/>
                <w:color w:val="000000"/>
                <w:sz w:val="18"/>
                <w:szCs w:val="18"/>
                <w:lang w:eastAsia="it-IT"/>
              </w:rPr>
              <w:t>Svalutazioni</w:t>
            </w:r>
          </w:p>
        </w:tc>
        <w:tc>
          <w:tcPr>
            <w:tcW w:w="1063"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 xml:space="preserve"> </w:t>
            </w:r>
            <w:r>
              <w:rPr>
                <w:rFonts w:cs="Calibri" w:ascii="Calibri" w:hAnsi="Calibri" w:asciiTheme="minorHAnsi" w:cstheme="minorHAnsi" w:hAnsiTheme="minorHAnsi"/>
                <w:b/>
                <w:bCs/>
                <w:i/>
                <w:iCs/>
                <w:color w:val="000000"/>
                <w:sz w:val="18"/>
                <w:szCs w:val="18"/>
                <w:lang w:eastAsia="it-IT"/>
              </w:rPr>
              <w:t>Ammortamento esercizio</w:t>
            </w:r>
          </w:p>
        </w:tc>
        <w:tc>
          <w:tcPr>
            <w:tcW w:w="1041"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 xml:space="preserve"> </w:t>
            </w:r>
            <w:r>
              <w:rPr>
                <w:rFonts w:cs="Calibri" w:ascii="Calibri" w:hAnsi="Calibri" w:asciiTheme="minorHAnsi" w:cstheme="minorHAnsi" w:hAnsiTheme="minorHAnsi"/>
                <w:b/>
                <w:bCs/>
                <w:i/>
                <w:iCs/>
                <w:color w:val="000000"/>
                <w:sz w:val="18"/>
                <w:szCs w:val="18"/>
                <w:lang w:eastAsia="it-IT"/>
              </w:rPr>
              <w:t>Valore netto al 31/12/2025</w:t>
            </w:r>
          </w:p>
        </w:tc>
      </w:tr>
      <w:tr>
        <w:trPr>
          <w:trHeight w:val="20" w:hRule="atLeast"/>
        </w:trPr>
        <w:tc>
          <w:tcPr>
            <w:tcW w:w="1839"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Spese di impianto</w:t>
            </w:r>
          </w:p>
        </w:tc>
        <w:tc>
          <w:tcPr>
            <w:tcW w:w="102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3.288</w:t>
            </w:r>
          </w:p>
        </w:tc>
        <w:tc>
          <w:tcPr>
            <w:tcW w:w="96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3.288</w:t>
            </w:r>
          </w:p>
        </w:tc>
        <w:tc>
          <w:tcPr>
            <w:tcW w:w="84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937" w:type="dxa"/>
            <w:tcBorders>
              <w:bottom w:val="single" w:sz="4" w:space="0" w:color="000000"/>
              <w:right w:val="single" w:sz="4" w:space="0" w:color="000000"/>
            </w:tcBorders>
            <w:vAlign w:val="center"/>
          </w:tcPr>
          <w:p>
            <w:pPr>
              <w:pStyle w:val="Normal"/>
              <w:widowControl w:val="false"/>
              <w:suppressAutoHyphens w:val="false"/>
              <w:jc w:val="center"/>
              <w:rPr>
                <w:rFonts w:ascii="Calibri" w:hAnsi="Calibri" w:cs="Calibri" w:asciiTheme="minorHAnsi" w:cstheme="minorHAnsi" w:hAnsiTheme="minorHAnsi"/>
                <w:color w:val="000000"/>
                <w:lang w:eastAsia="it-IT"/>
              </w:rPr>
            </w:pPr>
            <w:r>
              <w:rPr/>
            </w:r>
          </w:p>
        </w:tc>
        <w:tc>
          <w:tcPr>
            <w:tcW w:w="99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93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0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c>
          <w:tcPr>
            <w:tcW w:w="104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r>
      <w:tr>
        <w:trPr>
          <w:trHeight w:val="20" w:hRule="atLeast"/>
        </w:trPr>
        <w:tc>
          <w:tcPr>
            <w:tcW w:w="1839"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Ricerca, sviluppo e pubblicità</w:t>
            </w:r>
          </w:p>
        </w:tc>
        <w:tc>
          <w:tcPr>
            <w:tcW w:w="102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96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84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937"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99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93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0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04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r>
      <w:tr>
        <w:trPr>
          <w:trHeight w:val="20" w:hRule="atLeast"/>
        </w:trPr>
        <w:tc>
          <w:tcPr>
            <w:tcW w:w="1839"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Diritti brevetti industriali - Software</w:t>
            </w:r>
          </w:p>
        </w:tc>
        <w:tc>
          <w:tcPr>
            <w:tcW w:w="102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10.005</w:t>
            </w:r>
          </w:p>
        </w:tc>
        <w:tc>
          <w:tcPr>
            <w:tcW w:w="96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10.005</w:t>
            </w:r>
          </w:p>
        </w:tc>
        <w:tc>
          <w:tcPr>
            <w:tcW w:w="84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937"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99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93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0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c>
          <w:tcPr>
            <w:tcW w:w="104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r>
      <w:tr>
        <w:trPr>
          <w:trHeight w:val="20" w:hRule="atLeast"/>
        </w:trPr>
        <w:tc>
          <w:tcPr>
            <w:tcW w:w="1839"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Altre - Miglioramento su beni di terzi</w:t>
            </w:r>
          </w:p>
        </w:tc>
        <w:tc>
          <w:tcPr>
            <w:tcW w:w="102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96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84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937"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99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93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0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04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r>
      <w:tr>
        <w:trPr>
          <w:trHeight w:val="20" w:hRule="atLeast"/>
        </w:trPr>
        <w:tc>
          <w:tcPr>
            <w:tcW w:w="1839"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Totale</w:t>
            </w:r>
          </w:p>
        </w:tc>
        <w:tc>
          <w:tcPr>
            <w:tcW w:w="102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13.293</w:t>
            </w:r>
          </w:p>
        </w:tc>
        <w:tc>
          <w:tcPr>
            <w:tcW w:w="96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13.293</w:t>
            </w:r>
          </w:p>
        </w:tc>
        <w:tc>
          <w:tcPr>
            <w:tcW w:w="84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
          </w:p>
        </w:tc>
        <w:tc>
          <w:tcPr>
            <w:tcW w:w="937"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
          </w:p>
        </w:tc>
        <w:tc>
          <w:tcPr>
            <w:tcW w:w="99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
          </w:p>
        </w:tc>
        <w:tc>
          <w:tcPr>
            <w:tcW w:w="93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
          </w:p>
        </w:tc>
        <w:tc>
          <w:tcPr>
            <w:tcW w:w="10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0</w:t>
            </w:r>
          </w:p>
        </w:tc>
        <w:tc>
          <w:tcPr>
            <w:tcW w:w="104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0</w:t>
            </w:r>
          </w:p>
        </w:tc>
      </w:tr>
    </w:tbl>
    <w:p>
      <w:pPr>
        <w:pStyle w:val="Titolo5"/>
        <w:widowControl w:val="false"/>
        <w:numPr>
          <w:ilvl w:val="4"/>
          <w:numId w:val="1"/>
        </w:numPr>
        <w:tabs>
          <w:tab w:val="clear" w:pos="720"/>
          <w:tab w:val="left" w:pos="0" w:leader="none"/>
        </w:tabs>
        <w:rPr>
          <w:rFonts w:ascii="Calibri" w:hAnsi="Calibri" w:cs="Calibri" w:asciiTheme="minorHAnsi" w:cstheme="minorHAnsi" w:hAnsiTheme="minorHAnsi"/>
          <w:sz w:val="22"/>
          <w:szCs w:val="22"/>
        </w:rPr>
      </w:pPr>
      <w:r>
        <w:rPr>
          <w:rFonts w:cs="Calibri" w:cstheme="minorHAnsi" w:ascii="Calibri" w:hAnsi="Calibri"/>
          <w:sz w:val="22"/>
          <w:szCs w:val="22"/>
        </w:rPr>
      </w:r>
    </w:p>
    <w:p>
      <w:pPr>
        <w:pStyle w:val="Titolo5"/>
        <w:widowControl w:val="false"/>
        <w:numPr>
          <w:ilvl w:val="4"/>
          <w:numId w:val="1"/>
        </w:numPr>
        <w:tabs>
          <w:tab w:val="clear" w:pos="720"/>
          <w:tab w:val="left" w:pos="0" w:leader="none"/>
        </w:tabs>
        <w:rPr>
          <w:rFonts w:ascii="Calibri" w:hAnsi="Calibri" w:cs="Calibri" w:asciiTheme="minorHAnsi" w:cstheme="minorHAnsi" w:hAnsiTheme="minorHAnsi"/>
          <w:kern w:val="2"/>
          <w:sz w:val="22"/>
          <w:szCs w:val="22"/>
          <w:u w:val="none"/>
        </w:rPr>
      </w:pPr>
      <w:r>
        <w:rPr>
          <w:rFonts w:cs="Calibri" w:ascii="Calibri" w:hAnsi="Calibri" w:asciiTheme="minorHAnsi" w:cstheme="minorHAnsi" w:hAnsiTheme="minorHAnsi"/>
          <w:kern w:val="2"/>
          <w:sz w:val="22"/>
          <w:szCs w:val="22"/>
          <w:u w:val="none"/>
        </w:rPr>
        <w:t xml:space="preserve">Nel corso dell’esercizio le immobilizzazioni immateriali non hanno subito variazioni. </w:t>
      </w:r>
    </w:p>
    <w:p>
      <w:pPr>
        <w:pStyle w:val="Normal"/>
        <w:rPr/>
      </w:pPr>
      <w:r>
        <w:rPr/>
      </w:r>
    </w:p>
    <w:tbl>
      <w:tblPr>
        <w:tblW w:w="5630" w:type="dxa"/>
        <w:jc w:val="left"/>
        <w:tblInd w:w="115" w:type="dxa"/>
        <w:tblLayout w:type="fixed"/>
        <w:tblCellMar>
          <w:top w:w="0" w:type="dxa"/>
          <w:left w:w="70" w:type="dxa"/>
          <w:bottom w:w="0" w:type="dxa"/>
          <w:right w:w="70" w:type="dxa"/>
        </w:tblCellMar>
        <w:tblLook w:firstRow="0" w:noVBand="0" w:lastRow="0" w:firstColumn="0" w:lastColumn="0" w:noHBand="0" w:val="0000"/>
      </w:tblPr>
      <w:tblGrid>
        <w:gridCol w:w="4180"/>
        <w:gridCol w:w="1449"/>
      </w:tblGrid>
      <w:tr>
        <w:trPr>
          <w:trHeight w:val="227" w:hRule="atLeast"/>
        </w:trPr>
        <w:tc>
          <w:tcPr>
            <w:tcW w:w="4180"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uppressAutoHyphens w:val="false"/>
              <w:jc w:val="center"/>
              <w:rPr>
                <w:rFonts w:ascii="Calibri" w:hAnsi="Calibri" w:cs="Calibri" w:asciiTheme="minorHAnsi" w:cstheme="minorHAnsi" w:hAnsiTheme="minorHAnsi"/>
              </w:rPr>
            </w:pPr>
            <w:r>
              <w:rPr>
                <w:rFonts w:cs="Calibri" w:ascii="Calibri" w:hAnsi="Calibri" w:asciiTheme="minorHAnsi" w:cstheme="minorHAnsi" w:hAnsiTheme="minorHAnsi"/>
                <w:b/>
                <w:bCs/>
                <w:i/>
                <w:iCs/>
                <w:color w:val="000000"/>
                <w:lang w:eastAsia="it-IT"/>
              </w:rPr>
              <w:t>Immobilizzazioni immateriali</w:t>
            </w:r>
          </w:p>
        </w:tc>
        <w:tc>
          <w:tcPr>
            <w:tcW w:w="1449" w:type="dxa"/>
            <w:tcBorders>
              <w:top w:val="single" w:sz="4" w:space="0" w:color="000000"/>
              <w:bottom w:val="single" w:sz="4" w:space="0" w:color="000000"/>
              <w:right w:val="single" w:sz="4" w:space="0" w:color="000000"/>
            </w:tcBorders>
            <w:shd w:color="auto" w:fill="F2F2F2" w:val="clear"/>
            <w:vAlign w:val="center"/>
          </w:tcPr>
          <w:p>
            <w:pPr>
              <w:pStyle w:val="Normal"/>
              <w:widowControl w:val="false"/>
              <w:suppressAutoHyphens w:val="false"/>
              <w:jc w:val="center"/>
              <w:rPr>
                <w:rFonts w:ascii="Calibri" w:hAnsi="Calibri" w:cs="Calibri" w:asciiTheme="minorHAnsi" w:cstheme="minorHAnsi" w:hAnsiTheme="minorHAnsi"/>
              </w:rPr>
            </w:pPr>
            <w:r>
              <w:rPr>
                <w:rFonts w:eastAsia="Garamond"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aliquote</w:t>
            </w:r>
          </w:p>
        </w:tc>
      </w:tr>
      <w:tr>
        <w:trPr>
          <w:trHeight w:val="227" w:hRule="atLeast"/>
        </w:trPr>
        <w:tc>
          <w:tcPr>
            <w:tcW w:w="4180"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rPr>
            </w:pPr>
            <w:r>
              <w:rPr>
                <w:rFonts w:eastAsia="Garamond"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Spese di impianto</w:t>
            </w:r>
          </w:p>
        </w:tc>
        <w:tc>
          <w:tcPr>
            <w:tcW w:w="1449" w:type="dxa"/>
            <w:tcBorders>
              <w:bottom w:val="single" w:sz="4" w:space="0" w:color="000000"/>
              <w:right w:val="single" w:sz="4" w:space="0" w:color="000000"/>
            </w:tcBorders>
            <w:vAlign w:val="bottom"/>
          </w:tcPr>
          <w:p>
            <w:pPr>
              <w:pStyle w:val="Normal"/>
              <w:widowControl w:val="false"/>
              <w:suppressAutoHyphens w:val="false"/>
              <w:jc w:val="right"/>
              <w:rPr>
                <w:rFonts w:ascii="Calibri" w:hAnsi="Calibri" w:cs="Calibri" w:asciiTheme="minorHAnsi" w:cstheme="minorHAnsi" w:hAnsiTheme="minorHAnsi"/>
              </w:rPr>
            </w:pPr>
            <w:r>
              <w:rPr>
                <w:rFonts w:cs="Calibri" w:ascii="Calibri" w:hAnsi="Calibri" w:asciiTheme="minorHAnsi" w:cstheme="minorHAnsi" w:hAnsiTheme="minorHAnsi"/>
                <w:color w:val="000000"/>
                <w:lang w:eastAsia="it-IT"/>
              </w:rPr>
              <w:t>20%</w:t>
            </w:r>
          </w:p>
        </w:tc>
      </w:tr>
      <w:tr>
        <w:trPr>
          <w:trHeight w:val="227" w:hRule="atLeast"/>
        </w:trPr>
        <w:tc>
          <w:tcPr>
            <w:tcW w:w="4180"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rPr>
            </w:pPr>
            <w:r>
              <w:rPr>
                <w:rFonts w:eastAsia="Garamond"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Ricerca, sviluppo e pubblicità</w:t>
            </w:r>
          </w:p>
        </w:tc>
        <w:tc>
          <w:tcPr>
            <w:tcW w:w="1449" w:type="dxa"/>
            <w:tcBorders>
              <w:bottom w:val="single" w:sz="4" w:space="0" w:color="000000"/>
              <w:right w:val="single" w:sz="4" w:space="0" w:color="000000"/>
            </w:tcBorders>
            <w:vAlign w:val="bottom"/>
          </w:tcPr>
          <w:p>
            <w:pPr>
              <w:pStyle w:val="Normal"/>
              <w:widowControl w:val="false"/>
              <w:suppressAutoHyphens w:val="false"/>
              <w:jc w:val="right"/>
              <w:rPr>
                <w:rFonts w:ascii="Calibri" w:hAnsi="Calibri" w:cs="Calibri" w:asciiTheme="minorHAnsi" w:cstheme="minorHAnsi" w:hAnsiTheme="minorHAnsi"/>
              </w:rPr>
            </w:pPr>
            <w:r>
              <w:rPr>
                <w:rFonts w:cs="Calibri" w:ascii="Calibri" w:hAnsi="Calibri" w:asciiTheme="minorHAnsi" w:cstheme="minorHAnsi" w:hAnsiTheme="minorHAnsi"/>
                <w:color w:val="000000"/>
                <w:lang w:eastAsia="it-IT"/>
              </w:rPr>
              <w:t>20%</w:t>
            </w:r>
          </w:p>
        </w:tc>
      </w:tr>
      <w:tr>
        <w:trPr>
          <w:trHeight w:val="227" w:hRule="atLeast"/>
        </w:trPr>
        <w:tc>
          <w:tcPr>
            <w:tcW w:w="4180"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rPr>
            </w:pPr>
            <w:r>
              <w:rPr>
                <w:rFonts w:eastAsia="Garamond"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Diritti brevetti industriali - Software</w:t>
            </w:r>
          </w:p>
        </w:tc>
        <w:tc>
          <w:tcPr>
            <w:tcW w:w="1449" w:type="dxa"/>
            <w:tcBorders>
              <w:bottom w:val="single" w:sz="4" w:space="0" w:color="000000"/>
              <w:right w:val="single" w:sz="4" w:space="0" w:color="000000"/>
            </w:tcBorders>
            <w:vAlign w:val="bottom"/>
          </w:tcPr>
          <w:p>
            <w:pPr>
              <w:pStyle w:val="Normal"/>
              <w:widowControl w:val="false"/>
              <w:suppressAutoHyphens w:val="false"/>
              <w:jc w:val="right"/>
              <w:rPr>
                <w:rFonts w:ascii="Calibri" w:hAnsi="Calibri" w:cs="Calibri" w:asciiTheme="minorHAnsi" w:cstheme="minorHAnsi" w:hAnsiTheme="minorHAnsi"/>
              </w:rPr>
            </w:pPr>
            <w:r>
              <w:rPr>
                <w:rFonts w:cs="Calibri" w:ascii="Calibri" w:hAnsi="Calibri" w:asciiTheme="minorHAnsi" w:cstheme="minorHAnsi" w:hAnsiTheme="minorHAnsi"/>
                <w:color w:val="000000"/>
                <w:lang w:eastAsia="it-IT"/>
              </w:rPr>
              <w:t>20%</w:t>
            </w:r>
          </w:p>
        </w:tc>
      </w:tr>
      <w:tr>
        <w:trPr>
          <w:trHeight w:val="227" w:hRule="atLeast"/>
        </w:trPr>
        <w:tc>
          <w:tcPr>
            <w:tcW w:w="4180"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rPr>
            </w:pPr>
            <w:r>
              <w:rPr>
                <w:rFonts w:eastAsia="Garamond"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Altre - Miglioramento su beni di terzi</w:t>
            </w:r>
          </w:p>
        </w:tc>
        <w:tc>
          <w:tcPr>
            <w:tcW w:w="1449" w:type="dxa"/>
            <w:tcBorders>
              <w:bottom w:val="single" w:sz="4" w:space="0" w:color="000000"/>
              <w:right w:val="single" w:sz="4" w:space="0" w:color="000000"/>
            </w:tcBorders>
            <w:vAlign w:val="bottom"/>
          </w:tcPr>
          <w:p>
            <w:pPr>
              <w:pStyle w:val="Normal"/>
              <w:widowControl w:val="false"/>
              <w:suppressAutoHyphens w:val="false"/>
              <w:jc w:val="right"/>
              <w:rPr>
                <w:rFonts w:ascii="Calibri" w:hAnsi="Calibri" w:cs="Calibri" w:asciiTheme="minorHAnsi" w:cstheme="minorHAnsi" w:hAnsiTheme="minorHAnsi"/>
              </w:rPr>
            </w:pPr>
            <w:r>
              <w:rPr>
                <w:rFonts w:cs="Calibri" w:ascii="Calibri" w:hAnsi="Calibri" w:asciiTheme="minorHAnsi" w:cstheme="minorHAnsi" w:hAnsiTheme="minorHAnsi"/>
                <w:color w:val="000000"/>
                <w:lang w:eastAsia="it-IT"/>
              </w:rPr>
              <w:t>20%</w:t>
            </w:r>
          </w:p>
        </w:tc>
      </w:tr>
    </w:tbl>
    <w:p>
      <w:pPr>
        <w:pStyle w:val="Corpodeltesto"/>
        <w:widowControl w:val="false"/>
        <w:rPr>
          <w:rFonts w:ascii="Calibri" w:hAnsi="Calibri" w:cs="Calibri" w:asciiTheme="minorHAnsi" w:cstheme="minorHAnsi" w:hAnsiTheme="minorHAnsi"/>
          <w:sz w:val="22"/>
          <w:szCs w:val="22"/>
        </w:rPr>
      </w:pPr>
      <w:r>
        <w:rPr>
          <w:rFonts w:cs="Calibri" w:cstheme="minorHAnsi" w:ascii="Calibri" w:hAnsi="Calibri"/>
          <w:sz w:val="22"/>
          <w:szCs w:val="22"/>
        </w:rPr>
      </w:r>
    </w:p>
    <w:p>
      <w:pPr>
        <w:pStyle w:val="Titolo4"/>
        <w:widowControl w:val="false"/>
        <w:numPr>
          <w:ilvl w:val="3"/>
          <w:numId w:val="1"/>
        </w:numPr>
        <w:tabs>
          <w:tab w:val="clear" w:pos="720"/>
          <w:tab w:val="left" w:pos="0" w:leader="none"/>
        </w:tabs>
        <w:jc w:val="both"/>
        <w:rPr>
          <w:rFonts w:ascii="Calibri" w:hAnsi="Calibri" w:cs="Calibri" w:asciiTheme="minorHAnsi" w:cstheme="minorHAnsi" w:hAnsiTheme="minorHAnsi"/>
          <w:b/>
          <w:i/>
          <w:i/>
          <w:sz w:val="22"/>
          <w:szCs w:val="22"/>
        </w:rPr>
      </w:pPr>
      <w:r>
        <w:rPr>
          <w:rFonts w:cs="Calibri" w:ascii="Calibri" w:hAnsi="Calibri" w:asciiTheme="minorHAnsi" w:cstheme="minorHAnsi" w:hAnsiTheme="minorHAnsi"/>
          <w:b/>
          <w:i/>
          <w:sz w:val="22"/>
          <w:szCs w:val="22"/>
        </w:rPr>
        <w:t>II. Immobilizzazioni materiali</w:t>
      </w:r>
      <w:bookmarkStart w:id="0" w:name="AttImmFin"/>
      <w:bookmarkEnd w:id="0"/>
    </w:p>
    <w:p>
      <w:pPr>
        <w:pStyle w:val="Normal"/>
        <w:rPr>
          <w:rFonts w:ascii="Calibri" w:hAnsi="Calibri" w:cs="Calibri" w:asciiTheme="minorHAnsi" w:cstheme="minorHAnsi" w:hAnsiTheme="minorHAnsi"/>
        </w:rPr>
      </w:pPr>
      <w:r>
        <w:rPr>
          <w:rFonts w:cs="Calibri" w:cstheme="minorHAnsi" w:ascii="Calibri" w:hAnsi="Calibri"/>
        </w:rPr>
      </w:r>
    </w:p>
    <w:tbl>
      <w:tblPr>
        <w:tblW w:w="6960" w:type="dxa"/>
        <w:jc w:val="left"/>
        <w:tblInd w:w="151" w:type="dxa"/>
        <w:tblLayout w:type="fixed"/>
        <w:tblCellMar>
          <w:top w:w="0" w:type="dxa"/>
          <w:left w:w="70" w:type="dxa"/>
          <w:bottom w:w="0" w:type="dxa"/>
          <w:right w:w="70" w:type="dxa"/>
        </w:tblCellMar>
        <w:tblLook w:firstRow="1" w:noVBand="1" w:lastRow="0" w:firstColumn="1" w:lastColumn="0" w:noHBand="0" w:val="04a0"/>
      </w:tblPr>
      <w:tblGrid>
        <w:gridCol w:w="2829"/>
        <w:gridCol w:w="2411"/>
        <w:gridCol w:w="1720"/>
      </w:tblGrid>
      <w:tr>
        <w:trPr>
          <w:trHeight w:val="20" w:hRule="atLeast"/>
        </w:trPr>
        <w:tc>
          <w:tcPr>
            <w:tcW w:w="2829"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Saldo al 31/12/2025</w:t>
            </w:r>
          </w:p>
        </w:tc>
        <w:tc>
          <w:tcPr>
            <w:tcW w:w="2411" w:type="dxa"/>
            <w:tcBorders>
              <w:top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Saldo al 31/12/2024</w:t>
            </w:r>
          </w:p>
        </w:tc>
        <w:tc>
          <w:tcPr>
            <w:tcW w:w="1720" w:type="dxa"/>
            <w:tcBorders>
              <w:top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Variazioni</w:t>
            </w:r>
          </w:p>
        </w:tc>
      </w:tr>
      <w:tr>
        <w:trPr>
          <w:trHeight w:val="20" w:hRule="atLeast"/>
        </w:trPr>
        <w:tc>
          <w:tcPr>
            <w:tcW w:w="2829" w:type="dxa"/>
            <w:tcBorders>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1.383</w:t>
            </w:r>
          </w:p>
        </w:tc>
        <w:tc>
          <w:tcPr>
            <w:tcW w:w="2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2.719</w:t>
            </w:r>
          </w:p>
        </w:tc>
        <w:tc>
          <w:tcPr>
            <w:tcW w:w="172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-1.336</w:t>
            </w:r>
          </w:p>
        </w:tc>
      </w:tr>
    </w:tbl>
    <w:p>
      <w:pPr>
        <w:pStyle w:val="Normal"/>
        <w:rPr>
          <w:rFonts w:ascii="Calibri" w:hAnsi="Calibri" w:cs="Calibri" w:asciiTheme="minorHAnsi" w:cstheme="minorHAnsi" w:hAnsiTheme="minorHAnsi"/>
        </w:rPr>
      </w:pPr>
      <w:r>
        <w:rPr>
          <w:rFonts w:cs="Calibri" w:cstheme="minorHAnsi" w:ascii="Calibri" w:hAnsi="Calibri"/>
        </w:rPr>
      </w:r>
    </w:p>
    <w:p>
      <w:pPr>
        <w:pStyle w:val="Titolo5"/>
        <w:widowControl w:val="false"/>
        <w:numPr>
          <w:ilvl w:val="4"/>
          <w:numId w:val="1"/>
        </w:numPr>
        <w:tabs>
          <w:tab w:val="clear" w:pos="720"/>
          <w:tab w:val="left" w:pos="0" w:leader="none"/>
        </w:tabs>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u w:val="none"/>
        </w:rPr>
        <w:t>Le immobilizzazioni materiali consistono in beni materiali ed in costi ad utilizzazione economica pluriennale; l’iscrizione avviene al costo originario di acquisto al netto degli ammortamenti calcolati sulla base del criterio della residua possibilità di utilizzazione.</w:t>
      </w:r>
    </w:p>
    <w:p>
      <w:pPr>
        <w:pStyle w:val="Titolo5"/>
        <w:widowControl w:val="false"/>
        <w:numPr>
          <w:ilvl w:val="4"/>
          <w:numId w:val="1"/>
        </w:numPr>
        <w:tabs>
          <w:tab w:val="clear" w:pos="720"/>
          <w:tab w:val="left" w:pos="0" w:leader="none"/>
        </w:tabs>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u w:val="none"/>
        </w:rPr>
        <w:t>Le spese sono iscritte all’attivo in quanto aventi utilità pluriennale e vengono progressivamente stornati i valori dei costi ed incrementati i relativi fondi, fino al raggiungimento dell’integrale ammortamento della spesa.</w:t>
      </w:r>
    </w:p>
    <w:p>
      <w:pPr>
        <w:pStyle w:val="Standard"/>
        <w:numPr>
          <w:ilvl w:val="0"/>
          <w:numId w:val="2"/>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Nella seguente tabella sono riportate le movimentazioni che hanno interessato tali beni.</w:t>
      </w:r>
    </w:p>
    <w:p>
      <w:pPr>
        <w:pStyle w:val="Titolo5"/>
        <w:widowControl w:val="false"/>
        <w:numPr>
          <w:ilvl w:val="4"/>
          <w:numId w:val="1"/>
        </w:numPr>
        <w:tabs>
          <w:tab w:val="clear" w:pos="720"/>
          <w:tab w:val="left" w:pos="0" w:leader="none"/>
        </w:tabs>
        <w:rPr>
          <w:rFonts w:ascii="Calibri" w:hAnsi="Calibri" w:cs="Calibri" w:asciiTheme="minorHAnsi" w:cstheme="minorHAnsi" w:hAnsiTheme="minorHAnsi"/>
          <w:sz w:val="22"/>
          <w:szCs w:val="22"/>
        </w:rPr>
      </w:pPr>
      <w:r>
        <w:rPr>
          <w:rFonts w:cs="Calibri" w:cstheme="minorHAnsi" w:ascii="Calibri" w:hAnsi="Calibri"/>
          <w:sz w:val="22"/>
          <w:szCs w:val="22"/>
        </w:rPr>
      </w:r>
    </w:p>
    <w:tbl>
      <w:tblPr>
        <w:tblW w:w="9628" w:type="dxa"/>
        <w:jc w:val="left"/>
        <w:tblInd w:w="75" w:type="dxa"/>
        <w:tblLayout w:type="fixed"/>
        <w:tblCellMar>
          <w:top w:w="0" w:type="dxa"/>
          <w:left w:w="70" w:type="dxa"/>
          <w:bottom w:w="0" w:type="dxa"/>
          <w:right w:w="70" w:type="dxa"/>
        </w:tblCellMar>
        <w:tblLook w:firstRow="1" w:noVBand="1" w:lastRow="0" w:firstColumn="1" w:lastColumn="0" w:noHBand="0" w:val="04a0"/>
      </w:tblPr>
      <w:tblGrid>
        <w:gridCol w:w="1837"/>
        <w:gridCol w:w="1135"/>
        <w:gridCol w:w="1134"/>
        <w:gridCol w:w="992"/>
        <w:gridCol w:w="948"/>
        <w:gridCol w:w="753"/>
        <w:gridCol w:w="567"/>
        <w:gridCol w:w="1138"/>
        <w:gridCol w:w="1123"/>
      </w:tblGrid>
      <w:tr>
        <w:trPr>
          <w:tblHeader w:val="true"/>
          <w:trHeight w:val="20" w:hRule="atLeast"/>
        </w:trPr>
        <w:tc>
          <w:tcPr>
            <w:tcW w:w="9627" w:type="dxa"/>
            <w:gridSpan w:val="9"/>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Immobilizzazioni materiali</w:t>
            </w:r>
          </w:p>
        </w:tc>
      </w:tr>
      <w:tr>
        <w:trPr>
          <w:tblHeader w:val="true"/>
          <w:trHeight w:val="20" w:hRule="atLeast"/>
        </w:trPr>
        <w:tc>
          <w:tcPr>
            <w:tcW w:w="1837" w:type="dxa"/>
            <w:tcBorders>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Descrizione</w:t>
            </w:r>
          </w:p>
        </w:tc>
        <w:tc>
          <w:tcPr>
            <w:tcW w:w="1135"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 xml:space="preserve"> </w:t>
            </w:r>
            <w:r>
              <w:rPr>
                <w:rFonts w:cs="Calibri" w:ascii="Calibri" w:hAnsi="Calibri" w:asciiTheme="minorHAnsi" w:cstheme="minorHAnsi" w:hAnsiTheme="minorHAnsi"/>
                <w:b/>
                <w:bCs/>
                <w:i/>
                <w:iCs/>
                <w:color w:val="000000"/>
                <w:sz w:val="18"/>
                <w:szCs w:val="18"/>
                <w:lang w:eastAsia="it-IT"/>
              </w:rPr>
              <w:t>Costo storico</w:t>
            </w:r>
          </w:p>
        </w:tc>
        <w:tc>
          <w:tcPr>
            <w:tcW w:w="1134"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 xml:space="preserve">     </w:t>
            </w:r>
            <w:r>
              <w:rPr>
                <w:rFonts w:cs="Calibri" w:ascii="Calibri" w:hAnsi="Calibri" w:asciiTheme="minorHAnsi" w:cstheme="minorHAnsi" w:hAnsiTheme="minorHAnsi"/>
                <w:b/>
                <w:bCs/>
                <w:i/>
                <w:iCs/>
                <w:color w:val="000000"/>
                <w:sz w:val="18"/>
                <w:szCs w:val="18"/>
                <w:lang w:eastAsia="it-IT"/>
              </w:rPr>
              <w:t>Fondo ammortamento</w:t>
            </w:r>
          </w:p>
        </w:tc>
        <w:tc>
          <w:tcPr>
            <w:tcW w:w="992"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 xml:space="preserve"> </w:t>
            </w:r>
            <w:r>
              <w:rPr>
                <w:rFonts w:cs="Calibri" w:ascii="Calibri" w:hAnsi="Calibri" w:asciiTheme="minorHAnsi" w:cstheme="minorHAnsi" w:hAnsiTheme="minorHAnsi"/>
                <w:b/>
                <w:bCs/>
                <w:i/>
                <w:iCs/>
                <w:color w:val="000000"/>
                <w:sz w:val="18"/>
                <w:szCs w:val="18"/>
                <w:lang w:eastAsia="it-IT"/>
              </w:rPr>
              <w:t>Incr. esercizio</w:t>
            </w:r>
          </w:p>
        </w:tc>
        <w:tc>
          <w:tcPr>
            <w:tcW w:w="948"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 xml:space="preserve"> </w:t>
            </w:r>
            <w:r>
              <w:rPr>
                <w:rFonts w:cs="Calibri" w:ascii="Calibri" w:hAnsi="Calibri" w:asciiTheme="minorHAnsi" w:cstheme="minorHAnsi" w:hAnsiTheme="minorHAnsi"/>
                <w:b/>
                <w:bCs/>
                <w:i/>
                <w:iCs/>
                <w:color w:val="000000"/>
                <w:sz w:val="18"/>
                <w:szCs w:val="18"/>
                <w:lang w:eastAsia="it-IT"/>
              </w:rPr>
              <w:t>Decr. esercizio</w:t>
            </w:r>
          </w:p>
        </w:tc>
        <w:tc>
          <w:tcPr>
            <w:tcW w:w="753"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 xml:space="preserve"> </w:t>
            </w:r>
            <w:r>
              <w:rPr>
                <w:rFonts w:cs="Calibri" w:ascii="Calibri" w:hAnsi="Calibri" w:asciiTheme="minorHAnsi" w:cstheme="minorHAnsi" w:hAnsiTheme="minorHAnsi"/>
                <w:b/>
                <w:bCs/>
                <w:i/>
                <w:iCs/>
                <w:color w:val="000000"/>
                <w:sz w:val="18"/>
                <w:szCs w:val="18"/>
                <w:lang w:eastAsia="it-IT"/>
              </w:rPr>
              <w:t>Riv.</w:t>
            </w:r>
          </w:p>
        </w:tc>
        <w:tc>
          <w:tcPr>
            <w:tcW w:w="567"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 xml:space="preserve"> </w:t>
            </w:r>
            <w:r>
              <w:rPr>
                <w:rFonts w:cs="Calibri" w:ascii="Calibri" w:hAnsi="Calibri" w:asciiTheme="minorHAnsi" w:cstheme="minorHAnsi" w:hAnsiTheme="minorHAnsi"/>
                <w:b/>
                <w:bCs/>
                <w:i/>
                <w:iCs/>
                <w:color w:val="000000"/>
                <w:sz w:val="18"/>
                <w:szCs w:val="18"/>
                <w:lang w:eastAsia="it-IT"/>
              </w:rPr>
              <w:t>Sval.</w:t>
            </w:r>
          </w:p>
        </w:tc>
        <w:tc>
          <w:tcPr>
            <w:tcW w:w="1138"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 xml:space="preserve"> </w:t>
            </w:r>
            <w:r>
              <w:rPr>
                <w:rFonts w:cs="Calibri" w:ascii="Calibri" w:hAnsi="Calibri" w:asciiTheme="minorHAnsi" w:cstheme="minorHAnsi" w:hAnsiTheme="minorHAnsi"/>
                <w:b/>
                <w:bCs/>
                <w:i/>
                <w:iCs/>
                <w:color w:val="000000"/>
                <w:sz w:val="18"/>
                <w:szCs w:val="18"/>
                <w:lang w:eastAsia="it-IT"/>
              </w:rPr>
              <w:t>Ammortamento esercizio</w:t>
            </w:r>
          </w:p>
        </w:tc>
        <w:tc>
          <w:tcPr>
            <w:tcW w:w="1123"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18"/>
                <w:szCs w:val="18"/>
                <w:lang w:eastAsia="it-IT"/>
              </w:rPr>
            </w:pPr>
            <w:r>
              <w:rPr>
                <w:rFonts w:cs="Calibri" w:ascii="Calibri" w:hAnsi="Calibri" w:asciiTheme="minorHAnsi" w:cstheme="minorHAnsi" w:hAnsiTheme="minorHAnsi"/>
                <w:b/>
                <w:bCs/>
                <w:i/>
                <w:iCs/>
                <w:color w:val="000000"/>
                <w:sz w:val="18"/>
                <w:szCs w:val="18"/>
                <w:lang w:eastAsia="it-IT"/>
              </w:rPr>
              <w:t xml:space="preserve"> </w:t>
            </w:r>
            <w:r>
              <w:rPr>
                <w:rFonts w:cs="Calibri" w:ascii="Calibri" w:hAnsi="Calibri" w:asciiTheme="minorHAnsi" w:cstheme="minorHAnsi" w:hAnsiTheme="minorHAnsi"/>
                <w:b/>
                <w:bCs/>
                <w:i/>
                <w:iCs/>
                <w:color w:val="000000"/>
                <w:sz w:val="18"/>
                <w:szCs w:val="18"/>
                <w:lang w:eastAsia="it-IT"/>
              </w:rPr>
              <w:t>Valore netto al 31/12/2025</w:t>
            </w:r>
          </w:p>
        </w:tc>
      </w:tr>
      <w:tr>
        <w:trPr>
          <w:trHeight w:val="20" w:hRule="atLeast"/>
        </w:trPr>
        <w:tc>
          <w:tcPr>
            <w:tcW w:w="18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Computer e macchine per ufficio</w:t>
            </w:r>
          </w:p>
        </w:tc>
        <w:tc>
          <w:tcPr>
            <w:tcW w:w="113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14.903</w:t>
            </w:r>
          </w:p>
        </w:tc>
        <w:tc>
          <w:tcPr>
            <w:tcW w:w="11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12.184</w:t>
            </w:r>
          </w:p>
        </w:tc>
        <w:tc>
          <w:tcPr>
            <w:tcW w:w="99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c>
          <w:tcPr>
            <w:tcW w:w="94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75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567"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13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1.336</w:t>
            </w:r>
          </w:p>
        </w:tc>
        <w:tc>
          <w:tcPr>
            <w:tcW w:w="112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1.383</w:t>
            </w:r>
          </w:p>
        </w:tc>
      </w:tr>
      <w:tr>
        <w:trPr>
          <w:trHeight w:val="20" w:hRule="atLeast"/>
        </w:trPr>
        <w:tc>
          <w:tcPr>
            <w:tcW w:w="18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Macchinari economali</w:t>
            </w:r>
          </w:p>
        </w:tc>
        <w:tc>
          <w:tcPr>
            <w:tcW w:w="113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1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99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94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75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567"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13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12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r>
      <w:tr>
        <w:trPr>
          <w:trHeight w:val="20" w:hRule="atLeast"/>
        </w:trPr>
        <w:tc>
          <w:tcPr>
            <w:tcW w:w="18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Totale</w:t>
            </w:r>
          </w:p>
        </w:tc>
        <w:tc>
          <w:tcPr>
            <w:tcW w:w="113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14.903</w:t>
            </w:r>
          </w:p>
        </w:tc>
        <w:tc>
          <w:tcPr>
            <w:tcW w:w="11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12.184</w:t>
            </w:r>
          </w:p>
        </w:tc>
        <w:tc>
          <w:tcPr>
            <w:tcW w:w="99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0</w:t>
            </w:r>
          </w:p>
        </w:tc>
        <w:tc>
          <w:tcPr>
            <w:tcW w:w="94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
          </w:p>
        </w:tc>
        <w:tc>
          <w:tcPr>
            <w:tcW w:w="75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
          </w:p>
        </w:tc>
        <w:tc>
          <w:tcPr>
            <w:tcW w:w="567"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
          </w:p>
        </w:tc>
        <w:tc>
          <w:tcPr>
            <w:tcW w:w="113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1.336</w:t>
            </w:r>
          </w:p>
        </w:tc>
        <w:tc>
          <w:tcPr>
            <w:tcW w:w="112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1.383</w:t>
            </w:r>
          </w:p>
        </w:tc>
      </w:tr>
    </w:tbl>
    <w:p>
      <w:pPr>
        <w:pStyle w:val="Titolo5"/>
        <w:widowControl w:val="false"/>
        <w:numPr>
          <w:ilvl w:val="4"/>
          <w:numId w:val="1"/>
        </w:numPr>
        <w:tabs>
          <w:tab w:val="clear" w:pos="720"/>
          <w:tab w:val="left" w:pos="0" w:leader="none"/>
        </w:tabs>
        <w:rPr>
          <w:rFonts w:ascii="Calibri" w:hAnsi="Calibri" w:cs="Calibri" w:asciiTheme="minorHAnsi" w:cstheme="minorHAnsi" w:hAnsiTheme="minorHAnsi"/>
          <w:sz w:val="22"/>
          <w:szCs w:val="22"/>
        </w:rPr>
      </w:pPr>
      <w:r>
        <w:rPr>
          <w:rFonts w:cs="Calibri" w:cstheme="minorHAnsi" w:ascii="Calibri" w:hAnsi="Calibri"/>
          <w:sz w:val="22"/>
          <w:szCs w:val="22"/>
        </w:rPr>
      </w:r>
    </w:p>
    <w:p>
      <w:pPr>
        <w:pStyle w:val="Titolo5"/>
        <w:widowControl w:val="false"/>
        <w:numPr>
          <w:ilvl w:val="4"/>
          <w:numId w:val="1"/>
        </w:numPr>
        <w:tabs>
          <w:tab w:val="clear" w:pos="720"/>
          <w:tab w:val="left" w:pos="0" w:leader="none"/>
        </w:tabs>
        <w:rPr>
          <w:rFonts w:ascii="Calibri" w:hAnsi="Calibri" w:cs="Calibri" w:asciiTheme="minorHAnsi" w:cstheme="minorHAnsi" w:hAnsiTheme="minorHAnsi"/>
          <w:sz w:val="22"/>
          <w:szCs w:val="22"/>
          <w:u w:val="none"/>
        </w:rPr>
      </w:pPr>
      <w:r>
        <w:rPr>
          <w:rFonts w:cs="Calibri" w:ascii="Calibri" w:hAnsi="Calibri" w:asciiTheme="minorHAnsi" w:cstheme="minorHAnsi" w:hAnsiTheme="minorHAnsi"/>
          <w:sz w:val="22"/>
          <w:szCs w:val="22"/>
          <w:u w:val="none"/>
        </w:rPr>
        <w:t xml:space="preserve">Nel corso dell’esercizio le immobilizzazioni materiali non hanno subito variazioni </w:t>
      </w:r>
      <w:r>
        <w:rPr>
          <w:rFonts w:cs="Calibri" w:ascii="Calibri" w:hAnsi="Calibri" w:asciiTheme="minorHAnsi" w:cstheme="minorHAnsi" w:hAnsiTheme="minorHAnsi"/>
          <w:kern w:val="2"/>
          <w:sz w:val="22"/>
          <w:szCs w:val="22"/>
          <w:u w:val="none"/>
        </w:rPr>
        <w:t xml:space="preserve">ad esclusione degli ammortamenti. </w:t>
      </w:r>
      <w:r>
        <w:rPr>
          <w:rFonts w:cs="Calibri" w:ascii="Calibri" w:hAnsi="Calibri" w:asciiTheme="minorHAnsi" w:cstheme="minorHAnsi" w:hAnsiTheme="minorHAnsi"/>
          <w:sz w:val="22"/>
          <w:szCs w:val="22"/>
          <w:u w:val="none"/>
        </w:rPr>
        <w:t>L'ammortamento delle immobilizzazioni materiali è stato effettuato applicando le aliquote indicate nella tabella seguente, mentre per i cespiti acquistati nell’anno ci si è avvalsi della facoltà di dimezzare forfettariamente l’aliquota normale di ammortamento.</w:t>
      </w:r>
    </w:p>
    <w:p>
      <w:pPr>
        <w:pStyle w:val="Textbody"/>
        <w:widowControl w:val="false"/>
        <w:rPr>
          <w:rFonts w:ascii="Calibri" w:hAnsi="Calibri" w:cs="Calibri" w:asciiTheme="minorHAnsi" w:cstheme="minorHAnsi" w:hAnsiTheme="minorHAnsi"/>
          <w:sz w:val="22"/>
          <w:szCs w:val="22"/>
        </w:rPr>
      </w:pPr>
      <w:r>
        <w:rPr>
          <w:rFonts w:cs="Calibri" w:cstheme="minorHAnsi" w:ascii="Calibri" w:hAnsi="Calibri"/>
          <w:sz w:val="22"/>
          <w:szCs w:val="22"/>
        </w:rPr>
      </w:r>
    </w:p>
    <w:tbl>
      <w:tblPr>
        <w:tblW w:w="4690" w:type="dxa"/>
        <w:jc w:val="left"/>
        <w:tblInd w:w="115" w:type="dxa"/>
        <w:tblLayout w:type="fixed"/>
        <w:tblCellMar>
          <w:top w:w="0" w:type="dxa"/>
          <w:left w:w="70" w:type="dxa"/>
          <w:bottom w:w="0" w:type="dxa"/>
          <w:right w:w="70" w:type="dxa"/>
        </w:tblCellMar>
        <w:tblLook w:firstRow="0" w:noVBand="0" w:lastRow="0" w:firstColumn="0" w:lastColumn="0" w:noHBand="0" w:val="0000"/>
      </w:tblPr>
      <w:tblGrid>
        <w:gridCol w:w="3359"/>
        <w:gridCol w:w="1330"/>
      </w:tblGrid>
      <w:tr>
        <w:trPr>
          <w:trHeight w:val="170" w:hRule="atLeast"/>
        </w:trPr>
        <w:tc>
          <w:tcPr>
            <w:tcW w:w="3359"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uppressAutoHyphens w:val="false"/>
              <w:jc w:val="center"/>
              <w:rPr>
                <w:rFonts w:ascii="Calibri" w:hAnsi="Calibri" w:cs="Calibri" w:asciiTheme="minorHAnsi" w:cstheme="minorHAnsi" w:hAnsiTheme="minorHAnsi"/>
              </w:rPr>
            </w:pPr>
            <w:r>
              <w:rPr>
                <w:rFonts w:cs="Calibri" w:ascii="Calibri" w:hAnsi="Calibri" w:asciiTheme="minorHAnsi" w:cstheme="minorHAnsi" w:hAnsiTheme="minorHAnsi"/>
                <w:b/>
                <w:bCs/>
                <w:i/>
                <w:iCs/>
                <w:color w:val="000000"/>
                <w:lang w:eastAsia="it-IT"/>
              </w:rPr>
              <w:t>Immobilizzazioni materiali</w:t>
            </w:r>
          </w:p>
        </w:tc>
        <w:tc>
          <w:tcPr>
            <w:tcW w:w="1330" w:type="dxa"/>
            <w:tcBorders>
              <w:top w:val="single" w:sz="4" w:space="0" w:color="000000"/>
              <w:bottom w:val="single" w:sz="4" w:space="0" w:color="000000"/>
              <w:right w:val="single" w:sz="4" w:space="0" w:color="000000"/>
            </w:tcBorders>
            <w:shd w:color="auto" w:fill="F2F2F2" w:val="clear"/>
            <w:vAlign w:val="center"/>
          </w:tcPr>
          <w:p>
            <w:pPr>
              <w:pStyle w:val="Normal"/>
              <w:widowControl w:val="false"/>
              <w:suppressAutoHyphens w:val="false"/>
              <w:jc w:val="center"/>
              <w:rPr>
                <w:rFonts w:ascii="Calibri" w:hAnsi="Calibri" w:cs="Calibri" w:asciiTheme="minorHAnsi" w:cstheme="minorHAnsi" w:hAnsiTheme="minorHAnsi"/>
              </w:rPr>
            </w:pPr>
            <w:r>
              <w:rPr>
                <w:rFonts w:eastAsia="Garamond"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aliquote</w:t>
            </w:r>
          </w:p>
        </w:tc>
      </w:tr>
      <w:tr>
        <w:trPr>
          <w:trHeight w:val="170" w:hRule="atLeast"/>
        </w:trPr>
        <w:tc>
          <w:tcPr>
            <w:tcW w:w="3359"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rPr>
            </w:pPr>
            <w:r>
              <w:rPr>
                <w:rFonts w:eastAsia="Garamond"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Computer e macchine per ufficio</w:t>
            </w:r>
          </w:p>
        </w:tc>
        <w:tc>
          <w:tcPr>
            <w:tcW w:w="133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rPr>
            </w:pPr>
            <w:r>
              <w:rPr>
                <w:rFonts w:cs="Calibri" w:ascii="Calibri" w:hAnsi="Calibri" w:asciiTheme="minorHAnsi" w:cstheme="minorHAnsi" w:hAnsiTheme="minorHAnsi"/>
                <w:color w:val="000000"/>
                <w:lang w:eastAsia="it-IT"/>
              </w:rPr>
              <w:t>20%</w:t>
            </w:r>
          </w:p>
        </w:tc>
      </w:tr>
      <w:tr>
        <w:trPr>
          <w:trHeight w:val="170" w:hRule="atLeast"/>
        </w:trPr>
        <w:tc>
          <w:tcPr>
            <w:tcW w:w="3359"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rPr>
            </w:pPr>
            <w:r>
              <w:rPr>
                <w:rFonts w:eastAsia="Garamond"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Macchinari economali</w:t>
            </w:r>
          </w:p>
        </w:tc>
        <w:tc>
          <w:tcPr>
            <w:tcW w:w="133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rPr>
            </w:pPr>
            <w:r>
              <w:rPr>
                <w:rFonts w:cs="Calibri" w:ascii="Calibri" w:hAnsi="Calibri" w:asciiTheme="minorHAnsi" w:cstheme="minorHAnsi" w:hAnsiTheme="minorHAnsi"/>
                <w:color w:val="000000"/>
                <w:lang w:eastAsia="it-IT"/>
              </w:rPr>
              <w:t>20%</w:t>
            </w:r>
          </w:p>
        </w:tc>
      </w:tr>
    </w:tbl>
    <w:p>
      <w:pPr>
        <w:pStyle w:val="Titolo5"/>
        <w:widowControl w:val="false"/>
        <w:numPr>
          <w:ilvl w:val="0"/>
          <w:numId w:val="0"/>
        </w:numPr>
        <w:ind w:left="0" w:hanging="0"/>
        <w:rPr>
          <w:rFonts w:ascii="Calibri" w:hAnsi="Calibri" w:cs="Calibri" w:asciiTheme="minorHAnsi" w:cstheme="minorHAnsi" w:hAnsiTheme="minorHAnsi"/>
          <w:i/>
          <w:i/>
          <w:sz w:val="22"/>
          <w:szCs w:val="22"/>
        </w:rPr>
      </w:pPr>
      <w:r>
        <w:rPr>
          <w:rFonts w:cs="Calibri" w:cstheme="minorHAnsi" w:ascii="Calibri" w:hAnsi="Calibri"/>
          <w:i/>
          <w:sz w:val="22"/>
          <w:szCs w:val="22"/>
        </w:rPr>
      </w:r>
    </w:p>
    <w:p>
      <w:pPr>
        <w:pStyle w:val="Titolo4"/>
        <w:widowControl w:val="false"/>
        <w:numPr>
          <w:ilvl w:val="3"/>
          <w:numId w:val="1"/>
        </w:numPr>
        <w:tabs>
          <w:tab w:val="clear" w:pos="720"/>
          <w:tab w:val="left" w:pos="0"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i/>
          <w:sz w:val="22"/>
          <w:szCs w:val="22"/>
        </w:rPr>
        <w:t xml:space="preserve">III. Immobilizzazioni Finanziarie </w:t>
      </w:r>
    </w:p>
    <w:p>
      <w:pPr>
        <w:pStyle w:val="WW-Rientronormale"/>
        <w:widowControl w:val="false"/>
        <w:ind w:left="0"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Nel corso dell’esercizio non risultano iscritte poste per immobilizzazioni finanziarie. </w:t>
      </w:r>
    </w:p>
    <w:p>
      <w:pPr>
        <w:pStyle w:val="WW-Rientronormale"/>
        <w:widowControl w:val="false"/>
        <w:ind w:left="0" w:hanging="0"/>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WW-Rientronormale"/>
        <w:widowControl w:val="false"/>
        <w:numPr>
          <w:ilvl w:val="0"/>
          <w:numId w:val="8"/>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ATTIVO CIRCOLANTE</w:t>
      </w:r>
    </w:p>
    <w:p>
      <w:pPr>
        <w:pStyle w:val="Titolo4"/>
        <w:widowControl w:val="false"/>
        <w:numPr>
          <w:ilvl w:val="3"/>
          <w:numId w:val="1"/>
        </w:numPr>
        <w:tabs>
          <w:tab w:val="clear" w:pos="720"/>
          <w:tab w:val="left" w:pos="0"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i/>
          <w:sz w:val="22"/>
          <w:szCs w:val="22"/>
        </w:rPr>
        <w:t>I. Rimanenze</w:t>
      </w:r>
    </w:p>
    <w:p>
      <w:pPr>
        <w:pStyle w:val="Standard"/>
        <w:widowControl w:val="false"/>
        <w:tabs>
          <w:tab w:val="clear" w:pos="720"/>
          <w:tab w:val="left" w:pos="0" w:leader="none"/>
          <w:tab w:val="left" w:pos="4320" w:leader="none"/>
          <w:tab w:val="left" w:pos="26924" w:leader="none"/>
          <w:tab w:val="left" w:pos="27208" w:leader="none"/>
          <w:tab w:val="left" w:pos="27491" w:leader="none"/>
        </w:tabs>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Non vi sono rimanenze valorizzabili al termine dell’esercizio.</w:t>
      </w:r>
    </w:p>
    <w:p>
      <w:pPr>
        <w:pStyle w:val="Standard"/>
        <w:widowControl w:val="false"/>
        <w:tabs>
          <w:tab w:val="clear" w:pos="720"/>
          <w:tab w:val="left" w:pos="0" w:leader="none"/>
          <w:tab w:val="left" w:pos="4320" w:leader="none"/>
          <w:tab w:val="left" w:pos="26924" w:leader="none"/>
          <w:tab w:val="left" w:pos="27208" w:leader="none"/>
          <w:tab w:val="left" w:pos="27491" w:leader="none"/>
        </w:tabs>
        <w:rPr>
          <w:rFonts w:ascii="Calibri" w:hAnsi="Calibri" w:cs="Calibri" w:asciiTheme="minorHAnsi" w:cstheme="minorHAnsi" w:hAnsiTheme="minorHAnsi"/>
          <w:sz w:val="22"/>
          <w:szCs w:val="22"/>
        </w:rPr>
      </w:pPr>
      <w:r>
        <w:rPr>
          <w:rFonts w:cs="Calibri" w:cstheme="minorHAnsi" w:ascii="Calibri" w:hAnsi="Calibri"/>
          <w:sz w:val="22"/>
          <w:szCs w:val="22"/>
        </w:rPr>
      </w:r>
    </w:p>
    <w:p>
      <w:pPr>
        <w:pStyle w:val="Titolo4"/>
        <w:widowControl w:val="false"/>
        <w:numPr>
          <w:ilvl w:val="3"/>
          <w:numId w:val="1"/>
        </w:numPr>
        <w:tabs>
          <w:tab w:val="clear" w:pos="720"/>
          <w:tab w:val="left" w:pos="0"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i/>
          <w:sz w:val="22"/>
          <w:szCs w:val="22"/>
        </w:rPr>
        <w:t>II. Crediti</w:t>
      </w:r>
    </w:p>
    <w:p>
      <w:pPr>
        <w:pStyle w:val="Titolo4"/>
        <w:widowControl w:val="false"/>
        <w:numPr>
          <w:ilvl w:val="0"/>
          <w:numId w:val="0"/>
        </w:numPr>
        <w:ind w:left="0" w:hanging="0"/>
        <w:jc w:val="both"/>
        <w:rPr>
          <w:rFonts w:ascii="Calibri" w:hAnsi="Calibri" w:cs="Calibri" w:asciiTheme="minorHAnsi" w:cstheme="minorHAnsi" w:hAnsiTheme="minorHAnsi"/>
          <w:kern w:val="2"/>
          <w:sz w:val="22"/>
          <w:szCs w:val="22"/>
        </w:rPr>
      </w:pPr>
      <w:r>
        <w:rPr>
          <w:rFonts w:cs="Calibri" w:cstheme="minorHAnsi" w:ascii="Calibri" w:hAnsi="Calibri"/>
          <w:kern w:val="2"/>
          <w:sz w:val="22"/>
          <w:szCs w:val="22"/>
        </w:rPr>
      </w:r>
    </w:p>
    <w:tbl>
      <w:tblPr>
        <w:tblW w:w="6960" w:type="dxa"/>
        <w:jc w:val="left"/>
        <w:tblInd w:w="151" w:type="dxa"/>
        <w:tblLayout w:type="fixed"/>
        <w:tblCellMar>
          <w:top w:w="0" w:type="dxa"/>
          <w:left w:w="70" w:type="dxa"/>
          <w:bottom w:w="0" w:type="dxa"/>
          <w:right w:w="70" w:type="dxa"/>
        </w:tblCellMar>
        <w:tblLook w:firstRow="1" w:noVBand="1" w:lastRow="0" w:firstColumn="1" w:lastColumn="0" w:noHBand="0" w:val="04a0"/>
      </w:tblPr>
      <w:tblGrid>
        <w:gridCol w:w="2829"/>
        <w:gridCol w:w="2411"/>
        <w:gridCol w:w="1720"/>
      </w:tblGrid>
      <w:tr>
        <w:trPr>
          <w:trHeight w:val="20" w:hRule="atLeast"/>
        </w:trPr>
        <w:tc>
          <w:tcPr>
            <w:tcW w:w="2829"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Saldo al 31/12/2025</w:t>
            </w:r>
          </w:p>
        </w:tc>
        <w:tc>
          <w:tcPr>
            <w:tcW w:w="2411" w:type="dxa"/>
            <w:tcBorders>
              <w:top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Saldo al 31/12/2024</w:t>
            </w:r>
          </w:p>
        </w:tc>
        <w:tc>
          <w:tcPr>
            <w:tcW w:w="1720" w:type="dxa"/>
            <w:tcBorders>
              <w:top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Variazioni</w:t>
            </w:r>
          </w:p>
        </w:tc>
      </w:tr>
      <w:tr>
        <w:trPr>
          <w:trHeight w:val="20" w:hRule="atLeast"/>
        </w:trPr>
        <w:tc>
          <w:tcPr>
            <w:tcW w:w="2829" w:type="dxa"/>
            <w:tcBorders>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5.633.995</w:t>
            </w:r>
          </w:p>
        </w:tc>
        <w:tc>
          <w:tcPr>
            <w:tcW w:w="2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5.189.455</w:t>
            </w:r>
          </w:p>
        </w:tc>
        <w:tc>
          <w:tcPr>
            <w:tcW w:w="172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444.540</w:t>
            </w:r>
          </w:p>
        </w:tc>
      </w:tr>
    </w:tbl>
    <w:p>
      <w:pPr>
        <w:pStyle w:val="Titolo4"/>
        <w:widowControl w:val="false"/>
        <w:numPr>
          <w:ilvl w:val="0"/>
          <w:numId w:val="0"/>
        </w:numPr>
        <w:ind w:left="0" w:hanging="0"/>
        <w:jc w:val="both"/>
        <w:rPr>
          <w:rFonts w:ascii="Calibri" w:hAnsi="Calibri" w:cs="Calibri" w:asciiTheme="minorHAnsi" w:cstheme="minorHAnsi" w:hAnsiTheme="minorHAnsi"/>
          <w:kern w:val="2"/>
          <w:sz w:val="16"/>
          <w:szCs w:val="16"/>
        </w:rPr>
      </w:pPr>
      <w:r>
        <w:rPr>
          <w:rFonts w:cs="Calibri" w:ascii="Calibri" w:hAnsi="Calibri" w:asciiTheme="minorHAnsi" w:cstheme="minorHAnsi" w:hAnsiTheme="minorHAnsi"/>
          <w:kern w:val="2"/>
          <w:sz w:val="16"/>
          <w:szCs w:val="16"/>
        </w:rPr>
        <w:t>Espresso al valore nominale del credito</w:t>
      </w:r>
    </w:p>
    <w:p>
      <w:pPr>
        <w:pStyle w:val="Normal"/>
        <w:rPr>
          <w:rFonts w:ascii="Calibri" w:hAnsi="Calibri" w:cs="Calibri" w:asciiTheme="minorHAnsi" w:cstheme="minorHAnsi" w:hAnsiTheme="minorHAnsi"/>
        </w:rPr>
      </w:pPr>
      <w:r>
        <w:rPr>
          <w:rFonts w:cs="Calibri" w:cstheme="minorHAnsi" w:ascii="Calibri" w:hAnsi="Calibri"/>
        </w:rPr>
      </w:r>
    </w:p>
    <w:p>
      <w:pPr>
        <w:pStyle w:val="Titolo4"/>
        <w:widowControl w:val="false"/>
        <w:numPr>
          <w:ilvl w:val="0"/>
          <w:numId w:val="0"/>
        </w:numPr>
        <w:ind w:left="0"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kern w:val="2"/>
          <w:sz w:val="22"/>
          <w:szCs w:val="22"/>
        </w:rPr>
        <w:t>Di seguito la tabella che illustra le movimentazioni in incremento e decremento che hanno interessato i crediti, espressi al loro valore nominale.</w:t>
      </w:r>
    </w:p>
    <w:p>
      <w:pPr>
        <w:pStyle w:val="Corpodeltesto"/>
        <w:widowControl w:val="false"/>
        <w:rPr>
          <w:rFonts w:ascii="Calibri" w:hAnsi="Calibri" w:cs="Calibri" w:asciiTheme="minorHAnsi" w:cstheme="minorHAnsi" w:hAnsiTheme="minorHAnsi"/>
          <w:sz w:val="22"/>
          <w:szCs w:val="22"/>
        </w:rPr>
      </w:pPr>
      <w:r>
        <w:rPr>
          <w:rFonts w:cs="Calibri" w:cstheme="minorHAnsi" w:ascii="Calibri" w:hAnsi="Calibri"/>
          <w:sz w:val="22"/>
          <w:szCs w:val="22"/>
        </w:rPr>
      </w:r>
    </w:p>
    <w:tbl>
      <w:tblPr>
        <w:tblW w:w="9701" w:type="dxa"/>
        <w:jc w:val="left"/>
        <w:tblInd w:w="151" w:type="dxa"/>
        <w:tblLayout w:type="fixed"/>
        <w:tblCellMar>
          <w:top w:w="0" w:type="dxa"/>
          <w:left w:w="70" w:type="dxa"/>
          <w:bottom w:w="0" w:type="dxa"/>
          <w:right w:w="70" w:type="dxa"/>
        </w:tblCellMar>
        <w:tblLook w:firstRow="1" w:noVBand="1" w:lastRow="0" w:firstColumn="1" w:lastColumn="0" w:noHBand="0" w:val="04a0"/>
      </w:tblPr>
      <w:tblGrid>
        <w:gridCol w:w="3464"/>
        <w:gridCol w:w="1559"/>
        <w:gridCol w:w="1636"/>
        <w:gridCol w:w="1624"/>
        <w:gridCol w:w="1418"/>
      </w:tblGrid>
      <w:tr>
        <w:trPr>
          <w:trHeight w:val="20" w:hRule="atLeast"/>
        </w:trPr>
        <w:tc>
          <w:tcPr>
            <w:tcW w:w="9701" w:type="dxa"/>
            <w:gridSpan w:val="5"/>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VARIAZIONE DEI CREDITI</w:t>
            </w:r>
          </w:p>
        </w:tc>
      </w:tr>
      <w:tr>
        <w:trPr>
          <w:trHeight w:val="20" w:hRule="atLeast"/>
        </w:trPr>
        <w:tc>
          <w:tcPr>
            <w:tcW w:w="3464" w:type="dxa"/>
            <w:tcBorders>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Descrizione</w:t>
            </w:r>
          </w:p>
        </w:tc>
        <w:tc>
          <w:tcPr>
            <w:tcW w:w="1559"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Al 31/12/2024</w:t>
            </w:r>
          </w:p>
        </w:tc>
        <w:tc>
          <w:tcPr>
            <w:tcW w:w="1636"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Incrementi</w:t>
            </w:r>
          </w:p>
        </w:tc>
        <w:tc>
          <w:tcPr>
            <w:tcW w:w="1624"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Decrementi</w:t>
            </w:r>
          </w:p>
        </w:tc>
        <w:tc>
          <w:tcPr>
            <w:tcW w:w="1418"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Al 31/12/2025</w:t>
            </w:r>
          </w:p>
        </w:tc>
      </w:tr>
      <w:tr>
        <w:trPr>
          <w:trHeight w:val="20" w:hRule="atLeast"/>
        </w:trPr>
        <w:tc>
          <w:tcPr>
            <w:tcW w:w="3464"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Regione Toscana per contributi in c/esercizio</w:t>
            </w:r>
          </w:p>
        </w:tc>
        <w:tc>
          <w:tcPr>
            <w:tcW w:w="155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749.316</w:t>
            </w:r>
          </w:p>
        </w:tc>
        <w:tc>
          <w:tcPr>
            <w:tcW w:w="163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1.977.937</w:t>
            </w:r>
          </w:p>
        </w:tc>
        <w:tc>
          <w:tcPr>
            <w:tcW w:w="162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1.055.455</w:t>
            </w:r>
          </w:p>
        </w:tc>
        <w:tc>
          <w:tcPr>
            <w:tcW w:w="141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1.671.798</w:t>
            </w:r>
          </w:p>
        </w:tc>
      </w:tr>
      <w:tr>
        <w:trPr>
          <w:trHeight w:val="20" w:hRule="atLeast"/>
        </w:trPr>
        <w:tc>
          <w:tcPr>
            <w:tcW w:w="3464"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Regione Toscana per contributi in c/capitale</w:t>
            </w:r>
          </w:p>
        </w:tc>
        <w:tc>
          <w:tcPr>
            <w:tcW w:w="155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63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62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41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20" w:hRule="atLeast"/>
        </w:trPr>
        <w:tc>
          <w:tcPr>
            <w:tcW w:w="3464"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Comuni</w:t>
            </w:r>
          </w:p>
        </w:tc>
        <w:tc>
          <w:tcPr>
            <w:tcW w:w="155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1.345.579</w:t>
            </w:r>
          </w:p>
        </w:tc>
        <w:tc>
          <w:tcPr>
            <w:tcW w:w="163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2.536.590</w:t>
            </w:r>
          </w:p>
        </w:tc>
        <w:tc>
          <w:tcPr>
            <w:tcW w:w="162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2.324.800</w:t>
            </w:r>
          </w:p>
        </w:tc>
        <w:tc>
          <w:tcPr>
            <w:tcW w:w="141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1.557.369</w:t>
            </w:r>
          </w:p>
        </w:tc>
      </w:tr>
      <w:tr>
        <w:trPr>
          <w:trHeight w:val="20" w:hRule="atLeast"/>
        </w:trPr>
        <w:tc>
          <w:tcPr>
            <w:tcW w:w="3464"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Aziende sanitarie pubbliche della Regione Toscana</w:t>
            </w:r>
          </w:p>
        </w:tc>
        <w:tc>
          <w:tcPr>
            <w:tcW w:w="155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2.655.730</w:t>
            </w:r>
          </w:p>
        </w:tc>
        <w:tc>
          <w:tcPr>
            <w:tcW w:w="163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2.364.120</w:t>
            </w:r>
          </w:p>
        </w:tc>
        <w:tc>
          <w:tcPr>
            <w:tcW w:w="162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4.810.157</w:t>
            </w:r>
          </w:p>
        </w:tc>
        <w:tc>
          <w:tcPr>
            <w:tcW w:w="141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209.694</w:t>
            </w:r>
          </w:p>
        </w:tc>
      </w:tr>
      <w:tr>
        <w:trPr>
          <w:trHeight w:val="20" w:hRule="atLeast"/>
        </w:trPr>
        <w:tc>
          <w:tcPr>
            <w:tcW w:w="3464"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Erario</w:t>
            </w:r>
          </w:p>
        </w:tc>
        <w:tc>
          <w:tcPr>
            <w:tcW w:w="155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33.304</w:t>
            </w:r>
          </w:p>
        </w:tc>
        <w:tc>
          <w:tcPr>
            <w:tcW w:w="163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26.857</w:t>
            </w:r>
          </w:p>
        </w:tc>
        <w:tc>
          <w:tcPr>
            <w:tcW w:w="162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33.838</w:t>
            </w:r>
          </w:p>
        </w:tc>
        <w:tc>
          <w:tcPr>
            <w:tcW w:w="141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26.322</w:t>
            </w:r>
          </w:p>
        </w:tc>
      </w:tr>
      <w:tr>
        <w:trPr>
          <w:trHeight w:val="20" w:hRule="atLeast"/>
        </w:trPr>
        <w:tc>
          <w:tcPr>
            <w:tcW w:w="3464"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Altri</w:t>
            </w:r>
          </w:p>
        </w:tc>
        <w:tc>
          <w:tcPr>
            <w:tcW w:w="155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383.499</w:t>
            </w:r>
          </w:p>
        </w:tc>
        <w:tc>
          <w:tcPr>
            <w:tcW w:w="163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2.631.176</w:t>
            </w:r>
          </w:p>
        </w:tc>
        <w:tc>
          <w:tcPr>
            <w:tcW w:w="162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877.760</w:t>
            </w:r>
          </w:p>
        </w:tc>
        <w:tc>
          <w:tcPr>
            <w:tcW w:w="141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2.136.915</w:t>
            </w:r>
          </w:p>
        </w:tc>
      </w:tr>
      <w:tr>
        <w:trPr>
          <w:trHeight w:val="20" w:hRule="atLeast"/>
        </w:trPr>
        <w:tc>
          <w:tcPr>
            <w:tcW w:w="3464"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Crediti per fatture da emettere</w:t>
            </w:r>
          </w:p>
        </w:tc>
        <w:tc>
          <w:tcPr>
            <w:tcW w:w="155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22.029</w:t>
            </w:r>
          </w:p>
        </w:tc>
        <w:tc>
          <w:tcPr>
            <w:tcW w:w="163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13.476</w:t>
            </w:r>
          </w:p>
        </w:tc>
        <w:tc>
          <w:tcPr>
            <w:tcW w:w="162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3.606,67</w:t>
            </w:r>
          </w:p>
        </w:tc>
        <w:tc>
          <w:tcPr>
            <w:tcW w:w="141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31.898</w:t>
            </w:r>
          </w:p>
        </w:tc>
      </w:tr>
      <w:tr>
        <w:trPr>
          <w:trHeight w:val="20" w:hRule="atLeast"/>
        </w:trPr>
        <w:tc>
          <w:tcPr>
            <w:tcW w:w="3464"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b/>
                <w:bCs/>
                <w:color w:val="000000"/>
                <w:lang w:eastAsia="it-IT"/>
              </w:rPr>
              <w:t>Totale</w:t>
            </w:r>
          </w:p>
        </w:tc>
        <w:tc>
          <w:tcPr>
            <w:tcW w:w="155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5.189.455</w:t>
            </w:r>
          </w:p>
        </w:tc>
        <w:tc>
          <w:tcPr>
            <w:tcW w:w="163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9.550.155</w:t>
            </w:r>
          </w:p>
        </w:tc>
        <w:tc>
          <w:tcPr>
            <w:tcW w:w="162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9.105.616</w:t>
            </w:r>
          </w:p>
        </w:tc>
        <w:tc>
          <w:tcPr>
            <w:tcW w:w="141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5.633.995</w:t>
            </w:r>
          </w:p>
        </w:tc>
      </w:tr>
    </w:tbl>
    <w:p>
      <w:pPr>
        <w:pStyle w:val="Corpodeltesto"/>
        <w:widowControl w:val="false"/>
        <w:rPr>
          <w:rFonts w:ascii="Calibri" w:hAnsi="Calibri" w:cs="Calibri" w:asciiTheme="minorHAnsi" w:cstheme="minorHAnsi" w:hAnsiTheme="minorHAnsi"/>
          <w:sz w:val="22"/>
          <w:szCs w:val="22"/>
        </w:rPr>
      </w:pPr>
      <w:r>
        <w:rPr>
          <w:rFonts w:cs="Calibri" w:cstheme="minorHAnsi" w:ascii="Calibri" w:hAnsi="Calibri"/>
          <w:sz w:val="22"/>
          <w:szCs w:val="22"/>
        </w:rPr>
      </w:r>
    </w:p>
    <w:p>
      <w:pPr>
        <w:pStyle w:val="Corpodeltesto"/>
        <w:widowControl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Nell’anno 2025 non è stato necessario procedere all’adeguamento del Fondo svalutazione crediti. Il Fondo al 31/12/2025 ammonta a 12.210€. </w:t>
      </w:r>
    </w:p>
    <w:p>
      <w:pPr>
        <w:pStyle w:val="Corpodeltesto"/>
        <w:widowControl w:val="false"/>
        <w:rPr>
          <w:rFonts w:ascii="Calibri" w:hAnsi="Calibri" w:cs="Calibri" w:asciiTheme="minorHAnsi" w:cstheme="minorHAnsi" w:hAnsiTheme="minorHAnsi"/>
          <w:sz w:val="22"/>
          <w:szCs w:val="22"/>
        </w:rPr>
      </w:pPr>
      <w:r>
        <w:rPr>
          <w:rFonts w:cs="Calibri" w:cstheme="minorHAnsi" w:ascii="Calibri" w:hAnsi="Calibri"/>
          <w:sz w:val="22"/>
          <w:szCs w:val="22"/>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4013"/>
        <w:gridCol w:w="1463"/>
        <w:gridCol w:w="1416"/>
        <w:gridCol w:w="1132"/>
        <w:gridCol w:w="1614"/>
      </w:tblGrid>
      <w:tr>
        <w:trPr>
          <w:tblHeader w:val="true"/>
          <w:trHeight w:val="20" w:hRule="atLeast"/>
        </w:trPr>
        <w:tc>
          <w:tcPr>
            <w:tcW w:w="9638" w:type="dxa"/>
            <w:gridSpan w:val="5"/>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CREDITI PER SCADENZA</w:t>
            </w:r>
          </w:p>
        </w:tc>
      </w:tr>
      <w:tr>
        <w:trPr>
          <w:tblHeader w:val="true"/>
          <w:trHeight w:val="20" w:hRule="atLeast"/>
        </w:trPr>
        <w:tc>
          <w:tcPr>
            <w:tcW w:w="4013" w:type="dxa"/>
            <w:tcBorders>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Descrizione</w:t>
            </w:r>
          </w:p>
        </w:tc>
        <w:tc>
          <w:tcPr>
            <w:tcW w:w="1463"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Entro 12 mesi</w:t>
            </w:r>
          </w:p>
        </w:tc>
        <w:tc>
          <w:tcPr>
            <w:tcW w:w="1416"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Oltre 12 mesi</w:t>
            </w:r>
          </w:p>
        </w:tc>
        <w:tc>
          <w:tcPr>
            <w:tcW w:w="1132"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Oltre 5 anni</w:t>
            </w:r>
          </w:p>
        </w:tc>
        <w:tc>
          <w:tcPr>
            <w:tcW w:w="1614"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Totale</w:t>
            </w:r>
          </w:p>
        </w:tc>
      </w:tr>
      <w:tr>
        <w:trPr>
          <w:trHeight w:val="20" w:hRule="atLeast"/>
        </w:trPr>
        <w:tc>
          <w:tcPr>
            <w:tcW w:w="4013"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Regione Toscana per contributi in c/esercizio</w:t>
            </w:r>
          </w:p>
        </w:tc>
        <w:tc>
          <w:tcPr>
            <w:tcW w:w="14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1.671.798</w:t>
            </w:r>
          </w:p>
        </w:tc>
        <w:tc>
          <w:tcPr>
            <w:tcW w:w="141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13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61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1.671.798</w:t>
            </w:r>
          </w:p>
        </w:tc>
      </w:tr>
      <w:tr>
        <w:trPr>
          <w:trHeight w:val="20" w:hRule="atLeast"/>
        </w:trPr>
        <w:tc>
          <w:tcPr>
            <w:tcW w:w="4013"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Regione Toscana per contributi in c/capitale</w:t>
            </w:r>
          </w:p>
        </w:tc>
        <w:tc>
          <w:tcPr>
            <w:tcW w:w="14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c>
          <w:tcPr>
            <w:tcW w:w="141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13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61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r>
      <w:tr>
        <w:trPr>
          <w:trHeight w:val="20" w:hRule="atLeast"/>
        </w:trPr>
        <w:tc>
          <w:tcPr>
            <w:tcW w:w="4013"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Comuni</w:t>
            </w:r>
          </w:p>
        </w:tc>
        <w:tc>
          <w:tcPr>
            <w:tcW w:w="14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1.557.369</w:t>
            </w:r>
          </w:p>
        </w:tc>
        <w:tc>
          <w:tcPr>
            <w:tcW w:w="141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13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61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1.557.369</w:t>
            </w:r>
          </w:p>
        </w:tc>
      </w:tr>
      <w:tr>
        <w:trPr>
          <w:trHeight w:val="20" w:hRule="atLeast"/>
        </w:trPr>
        <w:tc>
          <w:tcPr>
            <w:tcW w:w="4013"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Aziende sanitarie pubbliche della Regione Toscana</w:t>
            </w:r>
          </w:p>
        </w:tc>
        <w:tc>
          <w:tcPr>
            <w:tcW w:w="14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209.694</w:t>
            </w:r>
          </w:p>
        </w:tc>
        <w:tc>
          <w:tcPr>
            <w:tcW w:w="141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13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61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209.694</w:t>
            </w:r>
          </w:p>
        </w:tc>
      </w:tr>
      <w:tr>
        <w:trPr>
          <w:trHeight w:val="20" w:hRule="atLeast"/>
        </w:trPr>
        <w:tc>
          <w:tcPr>
            <w:tcW w:w="4013"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Erario</w:t>
            </w:r>
          </w:p>
        </w:tc>
        <w:tc>
          <w:tcPr>
            <w:tcW w:w="14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26.322</w:t>
            </w:r>
          </w:p>
        </w:tc>
        <w:tc>
          <w:tcPr>
            <w:tcW w:w="141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13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61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26.322</w:t>
            </w:r>
          </w:p>
        </w:tc>
      </w:tr>
      <w:tr>
        <w:trPr>
          <w:trHeight w:val="20" w:hRule="atLeast"/>
        </w:trPr>
        <w:tc>
          <w:tcPr>
            <w:tcW w:w="4013"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Altri</w:t>
            </w:r>
          </w:p>
        </w:tc>
        <w:tc>
          <w:tcPr>
            <w:tcW w:w="14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2.136.915</w:t>
            </w:r>
          </w:p>
        </w:tc>
        <w:tc>
          <w:tcPr>
            <w:tcW w:w="141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13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61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2.136.915</w:t>
            </w:r>
          </w:p>
        </w:tc>
      </w:tr>
      <w:tr>
        <w:trPr>
          <w:trHeight w:val="20" w:hRule="atLeast"/>
        </w:trPr>
        <w:tc>
          <w:tcPr>
            <w:tcW w:w="4013"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Crediti per fatture da emettere</w:t>
            </w:r>
          </w:p>
        </w:tc>
        <w:tc>
          <w:tcPr>
            <w:tcW w:w="14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31.898</w:t>
            </w:r>
          </w:p>
        </w:tc>
        <w:tc>
          <w:tcPr>
            <w:tcW w:w="141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13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61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31.898</w:t>
            </w:r>
          </w:p>
        </w:tc>
      </w:tr>
      <w:tr>
        <w:trPr>
          <w:trHeight w:val="20" w:hRule="atLeast"/>
        </w:trPr>
        <w:tc>
          <w:tcPr>
            <w:tcW w:w="4013"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Totale</w:t>
            </w:r>
          </w:p>
        </w:tc>
        <w:tc>
          <w:tcPr>
            <w:tcW w:w="14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5.633.995</w:t>
            </w:r>
          </w:p>
        </w:tc>
        <w:tc>
          <w:tcPr>
            <w:tcW w:w="141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w:t>
            </w:r>
          </w:p>
        </w:tc>
        <w:tc>
          <w:tcPr>
            <w:tcW w:w="113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w:t>
            </w:r>
          </w:p>
        </w:tc>
        <w:tc>
          <w:tcPr>
            <w:tcW w:w="161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5.633.995</w:t>
            </w:r>
          </w:p>
        </w:tc>
      </w:tr>
    </w:tbl>
    <w:p>
      <w:pPr>
        <w:pStyle w:val="Standard"/>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Standard"/>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I crediti verso la Regione Toscana pari a </w:t>
      </w:r>
      <w:r>
        <w:rPr>
          <w:rFonts w:cs="Calibri" w:ascii="Calibri" w:hAnsi="Calibri" w:asciiTheme="minorHAnsi" w:cstheme="minorHAnsi" w:hAnsiTheme="minorHAnsi"/>
          <w:color w:val="000000"/>
          <w:sz w:val="22"/>
          <w:szCs w:val="22"/>
          <w:lang w:eastAsia="en-US"/>
        </w:rPr>
        <w:t xml:space="preserve">1.671.798 </w:t>
      </w:r>
      <w:r>
        <w:rPr>
          <w:rFonts w:cs="Calibri" w:ascii="Calibri" w:hAnsi="Calibri" w:asciiTheme="minorHAnsi" w:cstheme="minorHAnsi" w:hAnsiTheme="minorHAnsi"/>
          <w:sz w:val="22"/>
          <w:szCs w:val="22"/>
        </w:rPr>
        <w:t>€ sono elencati nella tabella seguente e si riferiscono a crediti sorti a seguito di attribuzione di contributi per le attività svolte dalla SdS.</w:t>
      </w:r>
    </w:p>
    <w:p>
      <w:pPr>
        <w:pStyle w:val="Standard"/>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5612"/>
        <w:gridCol w:w="2346"/>
        <w:gridCol w:w="1680"/>
      </w:tblGrid>
      <w:tr>
        <w:trPr>
          <w:tblHeader w:val="true"/>
          <w:trHeight w:val="20" w:hRule="atLeast"/>
        </w:trPr>
        <w:tc>
          <w:tcPr>
            <w:tcW w:w="9638" w:type="dxa"/>
            <w:gridSpan w:val="3"/>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DETTAGLIO CREDITI VERSO REGIONE TOSCANA</w:t>
            </w:r>
          </w:p>
        </w:tc>
      </w:tr>
      <w:tr>
        <w:trPr>
          <w:tblHeader w:val="true"/>
          <w:trHeight w:val="20" w:hRule="atLeast"/>
        </w:trPr>
        <w:tc>
          <w:tcPr>
            <w:tcW w:w="5612" w:type="dxa"/>
            <w:tcBorders>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Descrizione</w:t>
            </w:r>
          </w:p>
        </w:tc>
        <w:tc>
          <w:tcPr>
            <w:tcW w:w="2346"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atto</w:t>
            </w:r>
          </w:p>
        </w:tc>
        <w:tc>
          <w:tcPr>
            <w:tcW w:w="1680"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importo</w:t>
            </w:r>
          </w:p>
        </w:tc>
      </w:tr>
      <w:tr>
        <w:trPr>
          <w:trHeight w:val="20" w:hRule="atLeast"/>
        </w:trPr>
        <w:tc>
          <w:tcPr>
            <w:tcW w:w="5612"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FINANZ.TO RT PER LA PREVENZIONE, CURA E RIABIL. DIPENDENZA GIOCO D'AZZARDO</w:t>
            </w:r>
          </w:p>
        </w:tc>
        <w:tc>
          <w:tcPr>
            <w:tcW w:w="2346"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DD. 16945 DEL 18/07/2024</w:t>
            </w:r>
          </w:p>
        </w:tc>
        <w:tc>
          <w:tcPr>
            <w:tcW w:w="168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11.325</w:t>
            </w:r>
          </w:p>
        </w:tc>
      </w:tr>
      <w:tr>
        <w:trPr>
          <w:trHeight w:val="20" w:hRule="atLeast"/>
        </w:trPr>
        <w:tc>
          <w:tcPr>
            <w:tcW w:w="5612"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REG.LE AVVISO INTERVENTI DI SOSTEGNO ALLE CURE DOMICILIARI -</w:t>
            </w:r>
          </w:p>
        </w:tc>
        <w:tc>
          <w:tcPr>
            <w:tcW w:w="2346"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DD. 4891 DEL 29/02/2024</w:t>
            </w:r>
          </w:p>
        </w:tc>
        <w:tc>
          <w:tcPr>
            <w:tcW w:w="168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81.343</w:t>
            </w:r>
          </w:p>
        </w:tc>
      </w:tr>
      <w:tr>
        <w:trPr>
          <w:trHeight w:val="20" w:hRule="atLeast"/>
        </w:trPr>
        <w:tc>
          <w:tcPr>
            <w:tcW w:w="5612"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PR-FSE 2021-2027 PROG. INTERV DI ACCOMPAGNAMENTO AL LAVORO PER PERSONE FRAGILI</w:t>
            </w:r>
          </w:p>
        </w:tc>
        <w:tc>
          <w:tcPr>
            <w:tcW w:w="2346"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DD.12541-27078/24</w:t>
            </w:r>
          </w:p>
        </w:tc>
        <w:tc>
          <w:tcPr>
            <w:tcW w:w="168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169.255</w:t>
            </w:r>
          </w:p>
        </w:tc>
      </w:tr>
      <w:tr>
        <w:trPr>
          <w:trHeight w:val="20" w:hRule="atLeast"/>
        </w:trPr>
        <w:tc>
          <w:tcPr>
            <w:tcW w:w="5612"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FINANZIAMENTO REG.LE PROGRAMMA ANTIVIOLENZA -  ANNO 2025</w:t>
            </w:r>
          </w:p>
        </w:tc>
        <w:tc>
          <w:tcPr>
            <w:tcW w:w="2346"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DD. 26556 DEL 03/12/25</w:t>
            </w:r>
          </w:p>
        </w:tc>
        <w:tc>
          <w:tcPr>
            <w:tcW w:w="168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16.380</w:t>
            </w:r>
          </w:p>
        </w:tc>
      </w:tr>
      <w:tr>
        <w:trPr>
          <w:trHeight w:val="20" w:hRule="atLeast"/>
        </w:trPr>
        <w:tc>
          <w:tcPr>
            <w:tcW w:w="5612"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FINANZIAMENTO REG.LE PROGRAMMA ANTIVIOLENZA -  ANNO 2025</w:t>
            </w:r>
          </w:p>
        </w:tc>
        <w:tc>
          <w:tcPr>
            <w:tcW w:w="2346"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DD. 27521 DEL 24/11/2024</w:t>
            </w:r>
          </w:p>
        </w:tc>
        <w:tc>
          <w:tcPr>
            <w:tcW w:w="168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6.379</w:t>
            </w:r>
          </w:p>
        </w:tc>
      </w:tr>
      <w:tr>
        <w:trPr>
          <w:trHeight w:val="20" w:hRule="atLeast"/>
        </w:trPr>
        <w:tc>
          <w:tcPr>
            <w:tcW w:w="5612"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FONDI FAMIGLIA</w:t>
            </w:r>
          </w:p>
        </w:tc>
        <w:tc>
          <w:tcPr>
            <w:tcW w:w="2346"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DGR N.  507 DEL 22/04/2024 e DD N. 12773 del 05/06/2024</w:t>
            </w:r>
          </w:p>
        </w:tc>
        <w:tc>
          <w:tcPr>
            <w:tcW w:w="168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11.119</w:t>
            </w:r>
          </w:p>
        </w:tc>
      </w:tr>
      <w:tr>
        <w:trPr>
          <w:trHeight w:val="20" w:hRule="atLeast"/>
        </w:trPr>
        <w:tc>
          <w:tcPr>
            <w:tcW w:w="5612"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FONDO NAZIONALE POLITICHE SOCIALI (FNPS) ANNUALITA' 2024</w:t>
            </w:r>
          </w:p>
        </w:tc>
        <w:tc>
          <w:tcPr>
            <w:tcW w:w="2346"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DGRT 798 del 16/06/2025 e DD. 26155 DEL 01/12/25</w:t>
            </w:r>
          </w:p>
        </w:tc>
        <w:tc>
          <w:tcPr>
            <w:tcW w:w="168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560.688</w:t>
            </w:r>
          </w:p>
        </w:tc>
      </w:tr>
      <w:tr>
        <w:trPr>
          <w:trHeight w:val="20" w:hRule="atLeast"/>
        </w:trPr>
        <w:tc>
          <w:tcPr>
            <w:tcW w:w="5612"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PRFSE+2021-2027 INTERVENTI DI SOSTEGNO ALLE CURE DOMICILIARI</w:t>
            </w:r>
          </w:p>
        </w:tc>
        <w:tc>
          <w:tcPr>
            <w:tcW w:w="2346"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DD. 4891 DEL 29/02/2024</w:t>
            </w:r>
          </w:p>
        </w:tc>
        <w:tc>
          <w:tcPr>
            <w:tcW w:w="168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222.912</w:t>
            </w:r>
          </w:p>
        </w:tc>
      </w:tr>
      <w:tr>
        <w:trPr>
          <w:trHeight w:val="20" w:hRule="atLeast"/>
        </w:trPr>
        <w:tc>
          <w:tcPr>
            <w:tcW w:w="5612"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PRFSE+2021-2027 PROGETTO RAFFORZAMENTO DELLA CAPACITA' ISTITUZIONALE E DI ANIMAZIONE DEL SISTEMA DI GESTIONE DEGLI INTERVENTI DI INCLUSIONE SOCIALE - PROGETTO HELP</w:t>
            </w:r>
          </w:p>
        </w:tc>
        <w:tc>
          <w:tcPr>
            <w:tcW w:w="2346"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DD. 12262 DEL 28/05/2025</w:t>
            </w:r>
          </w:p>
        </w:tc>
        <w:tc>
          <w:tcPr>
            <w:tcW w:w="168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6.763</w:t>
            </w:r>
          </w:p>
        </w:tc>
      </w:tr>
      <w:tr>
        <w:trPr>
          <w:trHeight w:val="20" w:hRule="atLeast"/>
        </w:trPr>
        <w:tc>
          <w:tcPr>
            <w:tcW w:w="5612"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FIN.TO REGIONALE PER TRASPORTO PERSONE FRAGILI</w:t>
            </w:r>
          </w:p>
        </w:tc>
        <w:tc>
          <w:tcPr>
            <w:tcW w:w="2346"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DGR N.1497 del 09/12/2024 e DD. 1454 DEL 22/01/2025</w:t>
            </w:r>
          </w:p>
        </w:tc>
        <w:tc>
          <w:tcPr>
            <w:tcW w:w="168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6.964</w:t>
            </w:r>
          </w:p>
        </w:tc>
      </w:tr>
      <w:tr>
        <w:trPr>
          <w:trHeight w:val="20" w:hRule="atLeast"/>
        </w:trPr>
        <w:tc>
          <w:tcPr>
            <w:tcW w:w="5612"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INTERV DI ACCOMPAGNAMENTO AL LAVORO PER PERSONE FRAGILI</w:t>
            </w:r>
          </w:p>
        </w:tc>
        <w:tc>
          <w:tcPr>
            <w:tcW w:w="2346"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DD. 12541 DEL 06/06/2024 e 27078 DEL 06/12/2024</w:t>
            </w:r>
          </w:p>
        </w:tc>
        <w:tc>
          <w:tcPr>
            <w:tcW w:w="168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343.517</w:t>
            </w:r>
          </w:p>
        </w:tc>
      </w:tr>
      <w:tr>
        <w:trPr>
          <w:trHeight w:val="20" w:hRule="atLeast"/>
        </w:trPr>
        <w:tc>
          <w:tcPr>
            <w:tcW w:w="5612" w:type="dxa"/>
            <w:tcBorders>
              <w:left w:val="single" w:sz="4" w:space="0" w:color="000000"/>
              <w:bottom w:val="single" w:sz="4" w:space="0" w:color="000000"/>
              <w:right w:val="single" w:sz="4" w:space="0" w:color="000000"/>
            </w:tcBorders>
            <w:vAlign w:val="center"/>
          </w:tcPr>
          <w:p>
            <w:pPr>
              <w:pStyle w:val="Normal"/>
              <w:widowControl w:val="false"/>
              <w:suppressAutoHyphens w:val="false"/>
              <w:ind w:firstLine="20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PRFSE+2021-2027 PROG VITA IND. "VITA M.I.A."</w:t>
            </w:r>
          </w:p>
        </w:tc>
        <w:tc>
          <w:tcPr>
            <w:tcW w:w="2346"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DD. 20946 DEL 13/09/2024</w:t>
            </w:r>
          </w:p>
        </w:tc>
        <w:tc>
          <w:tcPr>
            <w:tcW w:w="168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235.152</w:t>
            </w:r>
          </w:p>
        </w:tc>
      </w:tr>
      <w:tr>
        <w:trPr>
          <w:trHeight w:val="20" w:hRule="atLeast"/>
        </w:trPr>
        <w:tc>
          <w:tcPr>
            <w:tcW w:w="7958"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totale crediti verso Regione Toscana</w:t>
            </w:r>
          </w:p>
        </w:tc>
        <w:tc>
          <w:tcPr>
            <w:tcW w:w="168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1.671.798</w:t>
            </w:r>
          </w:p>
        </w:tc>
      </w:tr>
    </w:tbl>
    <w:p>
      <w:pPr>
        <w:pStyle w:val="Standard"/>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Standard"/>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I crediti verso i Comuni che ammontano a </w:t>
      </w:r>
      <w:r>
        <w:rPr>
          <w:rFonts w:cs="Calibri" w:ascii="Calibri" w:hAnsi="Calibri" w:asciiTheme="minorHAnsi" w:cstheme="minorHAnsi" w:hAnsiTheme="minorHAnsi"/>
          <w:color w:val="000000"/>
          <w:sz w:val="22"/>
          <w:szCs w:val="22"/>
          <w:lang w:eastAsia="en-US"/>
        </w:rPr>
        <w:t xml:space="preserve">1.557.368 </w:t>
      </w:r>
      <w:r>
        <w:rPr>
          <w:rFonts w:cs="Calibri" w:ascii="Calibri" w:hAnsi="Calibri" w:asciiTheme="minorHAnsi" w:cstheme="minorHAnsi" w:hAnsiTheme="minorHAnsi"/>
          <w:sz w:val="22"/>
          <w:szCs w:val="22"/>
        </w:rPr>
        <w:t>€</w:t>
      </w:r>
      <w:r>
        <w:rPr>
          <w:rFonts w:cs="Calibri" w:ascii="Calibri" w:hAnsi="Calibri" w:asciiTheme="minorHAnsi" w:cstheme="minorHAnsi" w:hAnsiTheme="minorHAnsi"/>
          <w:b/>
          <w:sz w:val="22"/>
          <w:szCs w:val="22"/>
        </w:rPr>
        <w:t xml:space="preserve"> </w:t>
      </w:r>
      <w:r>
        <w:rPr>
          <w:rFonts w:cs="Calibri" w:ascii="Calibri" w:hAnsi="Calibri" w:asciiTheme="minorHAnsi" w:cstheme="minorHAnsi" w:hAnsiTheme="minorHAnsi"/>
          <w:sz w:val="22"/>
          <w:szCs w:val="22"/>
          <w:shd w:fill="FFFFFF" w:val="clear"/>
        </w:rPr>
        <w:t xml:space="preserve">si riferiscono ai crediti per le quote capitarie previste a carico dei Comuni consorziati per l’attuazione dei servizi sociali e dei servizi delegati, per l’attività di funzionamento dell’ente e per il rimborso degli emolumenti corrisposti al Direttore della SdS. </w:t>
      </w:r>
    </w:p>
    <w:p>
      <w:pPr>
        <w:pStyle w:val="Standard"/>
        <w:widowControl w:val="false"/>
        <w:jc w:val="both"/>
        <w:rPr>
          <w:rFonts w:ascii="Calibri" w:hAnsi="Calibri" w:cs="Calibri" w:asciiTheme="minorHAnsi" w:cstheme="minorHAnsi" w:hAnsiTheme="minorHAnsi"/>
          <w:sz w:val="22"/>
          <w:szCs w:val="22"/>
          <w:shd w:fill="FFFFFF" w:val="clear"/>
        </w:rPr>
      </w:pPr>
      <w:r>
        <w:rPr>
          <w:rFonts w:cs="Calibri" w:ascii="Calibri" w:hAnsi="Calibri" w:asciiTheme="minorHAnsi" w:cstheme="minorHAnsi" w:hAnsiTheme="minorHAnsi"/>
          <w:sz w:val="22"/>
          <w:szCs w:val="22"/>
          <w:shd w:fill="FFFFFF" w:val="clear"/>
        </w:rPr>
        <w:t>Al 31/12/2025 i crediti nei confronti dei Comuni sono ripartiti come indicato nella tabella seguente.</w:t>
      </w:r>
    </w:p>
    <w:p>
      <w:pPr>
        <w:pStyle w:val="Standard"/>
        <w:widowControl w:val="false"/>
        <w:jc w:val="both"/>
        <w:rPr>
          <w:rFonts w:ascii="Calibri" w:hAnsi="Calibri" w:cs="Calibri" w:asciiTheme="minorHAnsi" w:cstheme="minorHAnsi" w:hAnsiTheme="minorHAnsi"/>
          <w:sz w:val="22"/>
          <w:szCs w:val="22"/>
          <w:shd w:fill="FFFFFF" w:val="clear"/>
        </w:rPr>
      </w:pPr>
      <w:r>
        <w:rPr>
          <w:rFonts w:cs="Calibri" w:cstheme="minorHAnsi" w:ascii="Calibri" w:hAnsi="Calibri"/>
          <w:sz w:val="22"/>
          <w:szCs w:val="22"/>
          <w:shd w:fill="FFFFFF" w:val="clear"/>
        </w:rPr>
      </w:r>
    </w:p>
    <w:p>
      <w:pPr>
        <w:pStyle w:val="Standard"/>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4648"/>
        <w:gridCol w:w="1749"/>
        <w:gridCol w:w="1947"/>
        <w:gridCol w:w="1293"/>
      </w:tblGrid>
      <w:tr>
        <w:trPr>
          <w:tblHeader w:val="true"/>
          <w:trHeight w:val="20" w:hRule="atLeast"/>
        </w:trPr>
        <w:tc>
          <w:tcPr>
            <w:tcW w:w="9637" w:type="dxa"/>
            <w:gridSpan w:val="4"/>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DETTAGLIO CREDITI VERSO COMUNI</w:t>
            </w:r>
          </w:p>
        </w:tc>
      </w:tr>
      <w:tr>
        <w:trPr>
          <w:tblHeader w:val="true"/>
          <w:trHeight w:val="20" w:hRule="atLeast"/>
        </w:trPr>
        <w:tc>
          <w:tcPr>
            <w:tcW w:w="4648"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Descrizione</w:t>
            </w:r>
          </w:p>
        </w:tc>
        <w:tc>
          <w:tcPr>
            <w:tcW w:w="1749"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quota capitaria</w:t>
            </w:r>
          </w:p>
        </w:tc>
        <w:tc>
          <w:tcPr>
            <w:tcW w:w="1947"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altri servizi</w:t>
            </w:r>
          </w:p>
        </w:tc>
        <w:tc>
          <w:tcPr>
            <w:tcW w:w="129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Totale</w:t>
            </w:r>
          </w:p>
        </w:tc>
      </w:tr>
      <w:tr>
        <w:trPr>
          <w:trHeight w:val="20" w:hRule="atLeast"/>
        </w:trPr>
        <w:tc>
          <w:tcPr>
            <w:tcW w:w="46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Abbadia San Salvatore</w:t>
            </w:r>
          </w:p>
        </w:tc>
        <w:tc>
          <w:tcPr>
            <w:tcW w:w="17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94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lang w:eastAsia="it-IT"/>
              </w:rPr>
            </w:pPr>
            <w:r>
              <w:rPr>
                <w:rFonts w:cs="Calibri" w:ascii="Calibri" w:hAnsi="Calibri" w:asciiTheme="minorHAnsi" w:cstheme="minorHAnsi" w:hAnsiTheme="minorHAnsi"/>
                <w:lang w:eastAsia="it-IT"/>
              </w:rPr>
              <w:t xml:space="preserve">                        </w:t>
            </w:r>
            <w:r>
              <w:rPr>
                <w:rFonts w:cs="Calibri" w:ascii="Calibri" w:hAnsi="Calibri" w:asciiTheme="minorHAnsi" w:cstheme="minorHAnsi" w:hAnsiTheme="minorHAnsi"/>
                <w:lang w:eastAsia="it-IT"/>
              </w:rPr>
              <w:t>5.123</w:t>
            </w:r>
          </w:p>
        </w:tc>
        <w:tc>
          <w:tcPr>
            <w:tcW w:w="12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5.123</w:t>
            </w:r>
          </w:p>
        </w:tc>
      </w:tr>
      <w:tr>
        <w:trPr>
          <w:trHeight w:val="20" w:hRule="atLeast"/>
        </w:trPr>
        <w:tc>
          <w:tcPr>
            <w:tcW w:w="46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Castiglione d'Orcia</w:t>
            </w:r>
          </w:p>
        </w:tc>
        <w:tc>
          <w:tcPr>
            <w:tcW w:w="17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both"/>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9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2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20" w:hRule="atLeast"/>
        </w:trPr>
        <w:tc>
          <w:tcPr>
            <w:tcW w:w="46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Cetona</w:t>
            </w:r>
          </w:p>
        </w:tc>
        <w:tc>
          <w:tcPr>
            <w:tcW w:w="17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9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7.388</w:t>
            </w:r>
          </w:p>
        </w:tc>
        <w:tc>
          <w:tcPr>
            <w:tcW w:w="12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7.388</w:t>
            </w:r>
          </w:p>
        </w:tc>
      </w:tr>
      <w:tr>
        <w:trPr>
          <w:trHeight w:val="20" w:hRule="atLeast"/>
        </w:trPr>
        <w:tc>
          <w:tcPr>
            <w:tcW w:w="46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Chianciano Terme</w:t>
            </w:r>
          </w:p>
        </w:tc>
        <w:tc>
          <w:tcPr>
            <w:tcW w:w="17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145.162</w:t>
            </w:r>
          </w:p>
        </w:tc>
        <w:tc>
          <w:tcPr>
            <w:tcW w:w="19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65.396</w:t>
            </w:r>
          </w:p>
        </w:tc>
        <w:tc>
          <w:tcPr>
            <w:tcW w:w="12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210.558</w:t>
            </w:r>
          </w:p>
        </w:tc>
      </w:tr>
      <w:tr>
        <w:trPr>
          <w:trHeight w:val="20" w:hRule="atLeast"/>
        </w:trPr>
        <w:tc>
          <w:tcPr>
            <w:tcW w:w="46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Chiusi</w:t>
            </w:r>
          </w:p>
        </w:tc>
        <w:tc>
          <w:tcPr>
            <w:tcW w:w="17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99.928</w:t>
            </w:r>
          </w:p>
        </w:tc>
        <w:tc>
          <w:tcPr>
            <w:tcW w:w="19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34.712</w:t>
            </w:r>
          </w:p>
        </w:tc>
        <w:tc>
          <w:tcPr>
            <w:tcW w:w="12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134.640</w:t>
            </w:r>
          </w:p>
        </w:tc>
      </w:tr>
      <w:tr>
        <w:trPr>
          <w:trHeight w:val="20" w:hRule="atLeast"/>
        </w:trPr>
        <w:tc>
          <w:tcPr>
            <w:tcW w:w="46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Montepulciano</w:t>
            </w:r>
          </w:p>
        </w:tc>
        <w:tc>
          <w:tcPr>
            <w:tcW w:w="17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9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39.809</w:t>
            </w:r>
          </w:p>
        </w:tc>
        <w:tc>
          <w:tcPr>
            <w:tcW w:w="12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39.809</w:t>
            </w:r>
          </w:p>
        </w:tc>
      </w:tr>
      <w:tr>
        <w:trPr>
          <w:trHeight w:val="20" w:hRule="atLeast"/>
        </w:trPr>
        <w:tc>
          <w:tcPr>
            <w:tcW w:w="46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Piancastagnaio</w:t>
            </w:r>
          </w:p>
        </w:tc>
        <w:tc>
          <w:tcPr>
            <w:tcW w:w="17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311.308</w:t>
            </w:r>
          </w:p>
        </w:tc>
        <w:tc>
          <w:tcPr>
            <w:tcW w:w="19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2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311.308</w:t>
            </w:r>
          </w:p>
        </w:tc>
      </w:tr>
      <w:tr>
        <w:trPr>
          <w:trHeight w:val="20" w:hRule="atLeast"/>
        </w:trPr>
        <w:tc>
          <w:tcPr>
            <w:tcW w:w="46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Pienza</w:t>
            </w:r>
          </w:p>
        </w:tc>
        <w:tc>
          <w:tcPr>
            <w:tcW w:w="17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9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2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20" w:hRule="atLeast"/>
        </w:trPr>
        <w:tc>
          <w:tcPr>
            <w:tcW w:w="46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Radicofani</w:t>
            </w:r>
          </w:p>
        </w:tc>
        <w:tc>
          <w:tcPr>
            <w:tcW w:w="17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90.393</w:t>
            </w:r>
          </w:p>
        </w:tc>
        <w:tc>
          <w:tcPr>
            <w:tcW w:w="19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2.818</w:t>
            </w:r>
          </w:p>
        </w:tc>
        <w:tc>
          <w:tcPr>
            <w:tcW w:w="12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93.211</w:t>
            </w:r>
          </w:p>
        </w:tc>
      </w:tr>
      <w:tr>
        <w:trPr>
          <w:trHeight w:val="20" w:hRule="atLeast"/>
        </w:trPr>
        <w:tc>
          <w:tcPr>
            <w:tcW w:w="46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San Casciano Bagni</w:t>
            </w:r>
          </w:p>
        </w:tc>
        <w:tc>
          <w:tcPr>
            <w:tcW w:w="17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9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2.400</w:t>
            </w:r>
          </w:p>
        </w:tc>
        <w:tc>
          <w:tcPr>
            <w:tcW w:w="12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2.400</w:t>
            </w:r>
          </w:p>
        </w:tc>
      </w:tr>
      <w:tr>
        <w:trPr>
          <w:trHeight w:val="20" w:hRule="atLeast"/>
        </w:trPr>
        <w:tc>
          <w:tcPr>
            <w:tcW w:w="46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San Quirico d'Orcia</w:t>
            </w:r>
          </w:p>
        </w:tc>
        <w:tc>
          <w:tcPr>
            <w:tcW w:w="17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187.325</w:t>
            </w:r>
          </w:p>
        </w:tc>
        <w:tc>
          <w:tcPr>
            <w:tcW w:w="19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45</w:t>
            </w:r>
          </w:p>
        </w:tc>
        <w:tc>
          <w:tcPr>
            <w:tcW w:w="12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187.370</w:t>
            </w:r>
          </w:p>
        </w:tc>
      </w:tr>
      <w:tr>
        <w:trPr>
          <w:trHeight w:val="20" w:hRule="atLeast"/>
        </w:trPr>
        <w:tc>
          <w:tcPr>
            <w:tcW w:w="46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Sarteano</w:t>
            </w:r>
          </w:p>
        </w:tc>
        <w:tc>
          <w:tcPr>
            <w:tcW w:w="17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9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30.636</w:t>
            </w:r>
          </w:p>
        </w:tc>
        <w:tc>
          <w:tcPr>
            <w:tcW w:w="12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30.636</w:t>
            </w:r>
          </w:p>
        </w:tc>
      </w:tr>
      <w:tr>
        <w:trPr>
          <w:trHeight w:val="20" w:hRule="atLeast"/>
        </w:trPr>
        <w:tc>
          <w:tcPr>
            <w:tcW w:w="46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Sinalunga</w:t>
            </w:r>
          </w:p>
        </w:tc>
        <w:tc>
          <w:tcPr>
            <w:tcW w:w="17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252.023</w:t>
            </w:r>
          </w:p>
        </w:tc>
        <w:tc>
          <w:tcPr>
            <w:tcW w:w="19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83.140</w:t>
            </w:r>
          </w:p>
        </w:tc>
        <w:tc>
          <w:tcPr>
            <w:tcW w:w="12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335.163</w:t>
            </w:r>
          </w:p>
        </w:tc>
      </w:tr>
      <w:tr>
        <w:trPr>
          <w:trHeight w:val="20" w:hRule="atLeast"/>
        </w:trPr>
        <w:tc>
          <w:tcPr>
            <w:tcW w:w="46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Torrita di Siena</w:t>
            </w:r>
          </w:p>
        </w:tc>
        <w:tc>
          <w:tcPr>
            <w:tcW w:w="17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145.406</w:t>
            </w:r>
          </w:p>
        </w:tc>
        <w:tc>
          <w:tcPr>
            <w:tcW w:w="19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51.655</w:t>
            </w:r>
          </w:p>
        </w:tc>
        <w:tc>
          <w:tcPr>
            <w:tcW w:w="12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197.061</w:t>
            </w:r>
          </w:p>
        </w:tc>
      </w:tr>
      <w:tr>
        <w:trPr>
          <w:trHeight w:val="20" w:hRule="atLeast"/>
        </w:trPr>
        <w:tc>
          <w:tcPr>
            <w:tcW w:w="46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Trequanda</w:t>
            </w:r>
          </w:p>
        </w:tc>
        <w:tc>
          <w:tcPr>
            <w:tcW w:w="17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9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2.701</w:t>
            </w:r>
          </w:p>
        </w:tc>
        <w:tc>
          <w:tcPr>
            <w:tcW w:w="12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2.701</w:t>
            </w:r>
          </w:p>
        </w:tc>
      </w:tr>
      <w:tr>
        <w:trPr>
          <w:trHeight w:val="20" w:hRule="atLeast"/>
        </w:trPr>
        <w:tc>
          <w:tcPr>
            <w:tcW w:w="46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c>
          <w:tcPr>
            <w:tcW w:w="17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1.231.545</w:t>
            </w:r>
          </w:p>
        </w:tc>
        <w:tc>
          <w:tcPr>
            <w:tcW w:w="19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325.823</w:t>
            </w:r>
          </w:p>
        </w:tc>
        <w:tc>
          <w:tcPr>
            <w:tcW w:w="12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1.557.368</w:t>
            </w:r>
          </w:p>
        </w:tc>
      </w:tr>
    </w:tbl>
    <w:p>
      <w:pPr>
        <w:pStyle w:val="WW-Rientronormale"/>
        <w:widowControl w:val="false"/>
        <w:ind w:left="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Rientronormale"/>
        <w:widowControl w:val="false"/>
        <w:ind w:left="0"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I </w:t>
      </w:r>
      <w:r>
        <w:rPr>
          <w:rFonts w:cs="Calibri" w:ascii="Calibri" w:hAnsi="Calibri" w:asciiTheme="minorHAnsi" w:cstheme="minorHAnsi" w:hAnsiTheme="minorHAnsi"/>
          <w:sz w:val="22"/>
          <w:szCs w:val="22"/>
          <w:shd w:fill="FFFFFF" w:val="clear"/>
        </w:rPr>
        <w:t>crediti verso Aziende sanitarie pubbliche della Regione Toscana per l’importo di 209.694 € si riferiscono ai crediti vantati nei confronti dell’Azienda Sanitaria Toscana Sud Est per le somme riconosciute a titolo di compartecipazione ai costi per la gestione diretta del Consorzio. Di seguito la tabella riepilogativa dei crediti verso le Aziende Sanitarie al 31/12/2025</w:t>
      </w:r>
    </w:p>
    <w:p>
      <w:pPr>
        <w:pStyle w:val="Standard"/>
        <w:widowControl w:val="false"/>
        <w:jc w:val="both"/>
        <w:rPr>
          <w:rFonts w:ascii="Calibri" w:hAnsi="Calibri" w:cs="Calibri" w:asciiTheme="minorHAnsi" w:cstheme="minorHAnsi" w:hAnsiTheme="minorHAnsi"/>
          <w:sz w:val="22"/>
          <w:szCs w:val="22"/>
          <w:shd w:fill="FFFFFF" w:val="clear"/>
        </w:rPr>
      </w:pPr>
      <w:r>
        <w:rPr>
          <w:rFonts w:cs="Calibri" w:cstheme="minorHAnsi" w:ascii="Calibri" w:hAnsi="Calibri"/>
          <w:sz w:val="22"/>
          <w:szCs w:val="22"/>
          <w:shd w:fill="FFFFFF" w:val="clear"/>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4818"/>
        <w:gridCol w:w="1759"/>
        <w:gridCol w:w="1701"/>
        <w:gridCol w:w="1359"/>
      </w:tblGrid>
      <w:tr>
        <w:trPr>
          <w:tblHeader w:val="true"/>
          <w:trHeight w:val="113" w:hRule="atLeast"/>
        </w:trPr>
        <w:tc>
          <w:tcPr>
            <w:tcW w:w="9637" w:type="dxa"/>
            <w:gridSpan w:val="4"/>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DETTAGLIO CREDITI VERSO AZIENDE SANITARIE</w:t>
            </w:r>
          </w:p>
        </w:tc>
      </w:tr>
      <w:tr>
        <w:trPr>
          <w:tblHeader w:val="true"/>
          <w:trHeight w:val="113" w:hRule="atLeast"/>
        </w:trPr>
        <w:tc>
          <w:tcPr>
            <w:tcW w:w="4818"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descrizione</w:t>
            </w:r>
          </w:p>
        </w:tc>
        <w:tc>
          <w:tcPr>
            <w:tcW w:w="1759"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quote sanitarie</w:t>
            </w:r>
          </w:p>
        </w:tc>
        <w:tc>
          <w:tcPr>
            <w:tcW w:w="1701"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altri servizi</w:t>
            </w:r>
          </w:p>
        </w:tc>
        <w:tc>
          <w:tcPr>
            <w:tcW w:w="1359"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Totale</w:t>
            </w:r>
          </w:p>
        </w:tc>
      </w:tr>
      <w:tr>
        <w:trPr>
          <w:trHeight w:val="113" w:hRule="atLeast"/>
        </w:trPr>
        <w:tc>
          <w:tcPr>
            <w:tcW w:w="48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Azienda Asl Sud Est</w:t>
            </w:r>
          </w:p>
        </w:tc>
        <w:tc>
          <w:tcPr>
            <w:tcW w:w="17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209.694</w:t>
            </w:r>
          </w:p>
        </w:tc>
        <w:tc>
          <w:tcPr>
            <w:tcW w:w="13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209.694</w:t>
            </w:r>
          </w:p>
        </w:tc>
      </w:tr>
    </w:tbl>
    <w:p>
      <w:pPr>
        <w:pStyle w:val="Normal"/>
        <w:widowControl w:val="false"/>
        <w:jc w:val="both"/>
        <w:rPr>
          <w:rFonts w:ascii="Calibri" w:hAnsi="Calibri" w:cs="Calibri" w:asciiTheme="minorHAnsi" w:cstheme="minorHAnsi" w:hAnsiTheme="minorHAnsi"/>
          <w:sz w:val="22"/>
          <w:szCs w:val="22"/>
          <w:shd w:fill="FFFFFF" w:val="clear"/>
        </w:rPr>
      </w:pPr>
      <w:r>
        <w:rPr>
          <w:rFonts w:cs="Calibri" w:cstheme="minorHAnsi" w:ascii="Calibri" w:hAnsi="Calibri"/>
          <w:sz w:val="22"/>
          <w:szCs w:val="22"/>
          <w:shd w:fill="FFFFFF" w:val="clear"/>
        </w:rPr>
      </w:r>
    </w:p>
    <w:p>
      <w:pPr>
        <w:pStyle w:val="Standard"/>
        <w:widowControl w:val="false"/>
        <w:tabs>
          <w:tab w:val="clear" w:pos="720"/>
          <w:tab w:val="left" w:pos="0" w:leader="none"/>
          <w:tab w:val="left" w:pos="360"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 crediti verso l’Erario ammontano a 26.322 € e sono dettagliati come nella tabella seguente:</w:t>
      </w:r>
    </w:p>
    <w:p>
      <w:pPr>
        <w:pStyle w:val="Standard"/>
        <w:widowControl w:val="false"/>
        <w:tabs>
          <w:tab w:val="clear" w:pos="720"/>
          <w:tab w:val="left" w:pos="0" w:leader="none"/>
          <w:tab w:val="left" w:pos="360" w:leader="none"/>
        </w:tabs>
        <w:jc w:val="both"/>
        <w:rPr>
          <w:rFonts w:ascii="Calibri" w:hAnsi="Calibri" w:cs="Calibri" w:asciiTheme="minorHAnsi" w:cstheme="minorHAnsi" w:hAnsiTheme="minorHAnsi"/>
          <w:sz w:val="22"/>
          <w:szCs w:val="22"/>
        </w:rPr>
      </w:pPr>
      <w:r>
        <w:rPr>
          <w:rFonts w:cs="Calibri" w:cstheme="minorHAnsi" w:ascii="Calibri" w:hAnsi="Calibri"/>
          <w:sz w:val="22"/>
          <w:szCs w:val="22"/>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7893"/>
        <w:gridCol w:w="1744"/>
      </w:tblGrid>
      <w:tr>
        <w:trPr>
          <w:tblHeader w:val="true"/>
          <w:trHeight w:val="170" w:hRule="atLeast"/>
        </w:trPr>
        <w:tc>
          <w:tcPr>
            <w:tcW w:w="9637" w:type="dxa"/>
            <w:gridSpan w:val="2"/>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DETTAGLIO CREDITI VERSO ERARIO</w:t>
            </w:r>
          </w:p>
        </w:tc>
      </w:tr>
      <w:tr>
        <w:trPr>
          <w:tblHeader w:val="true"/>
          <w:trHeight w:val="170" w:hRule="atLeast"/>
        </w:trPr>
        <w:tc>
          <w:tcPr>
            <w:tcW w:w="7893"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Descrizione</w:t>
            </w:r>
          </w:p>
        </w:tc>
        <w:tc>
          <w:tcPr>
            <w:tcW w:w="1744"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importo</w:t>
            </w:r>
          </w:p>
        </w:tc>
      </w:tr>
      <w:tr>
        <w:trPr>
          <w:trHeight w:val="170" w:hRule="atLeast"/>
        </w:trPr>
        <w:tc>
          <w:tcPr>
            <w:tcW w:w="7893" w:type="dxa"/>
            <w:tcBorders>
              <w:top w:val="single" w:sz="4" w:space="0" w:color="000000"/>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ind w:firstLine="22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Acconto IRAP</w:t>
            </w:r>
          </w:p>
        </w:tc>
        <w:tc>
          <w:tcPr>
            <w:tcW w:w="1744" w:type="dxa"/>
            <w:tcBorders>
              <w:top w:val="single" w:sz="4" w:space="0" w:color="000000"/>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ind w:firstLine="220"/>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6.979</w:t>
            </w:r>
          </w:p>
        </w:tc>
      </w:tr>
      <w:tr>
        <w:trPr>
          <w:trHeight w:val="170" w:hRule="atLeast"/>
        </w:trPr>
        <w:tc>
          <w:tcPr>
            <w:tcW w:w="7893" w:type="dxa"/>
            <w:tcBorders>
              <w:top w:val="single" w:sz="4" w:space="0" w:color="000000"/>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ind w:firstLine="22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Credito Ires</w:t>
            </w:r>
          </w:p>
        </w:tc>
        <w:tc>
          <w:tcPr>
            <w:tcW w:w="1744" w:type="dxa"/>
            <w:tcBorders>
              <w:top w:val="single" w:sz="4" w:space="0" w:color="000000"/>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ind w:firstLine="220"/>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5.141</w:t>
            </w:r>
          </w:p>
        </w:tc>
      </w:tr>
      <w:tr>
        <w:trPr>
          <w:trHeight w:val="170" w:hRule="atLeast"/>
        </w:trPr>
        <w:tc>
          <w:tcPr>
            <w:tcW w:w="7893" w:type="dxa"/>
            <w:tcBorders>
              <w:top w:val="single" w:sz="4" w:space="0" w:color="000000"/>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ind w:firstLine="22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Credito Iva</w:t>
            </w:r>
          </w:p>
        </w:tc>
        <w:tc>
          <w:tcPr>
            <w:tcW w:w="1744" w:type="dxa"/>
            <w:tcBorders>
              <w:top w:val="single" w:sz="4" w:space="0" w:color="000000"/>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ind w:firstLine="220"/>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3.656</w:t>
            </w:r>
          </w:p>
        </w:tc>
      </w:tr>
      <w:tr>
        <w:trPr>
          <w:trHeight w:val="170" w:hRule="atLeast"/>
        </w:trPr>
        <w:tc>
          <w:tcPr>
            <w:tcW w:w="7893" w:type="dxa"/>
            <w:tcBorders>
              <w:top w:val="single" w:sz="4" w:space="0" w:color="000000"/>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ind w:firstLine="22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Acconto imposta di bollo pagamento virtuale</w:t>
            </w:r>
          </w:p>
        </w:tc>
        <w:tc>
          <w:tcPr>
            <w:tcW w:w="1744" w:type="dxa"/>
            <w:tcBorders>
              <w:top w:val="single" w:sz="4" w:space="0" w:color="000000"/>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ind w:firstLine="220"/>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2.030</w:t>
            </w:r>
          </w:p>
        </w:tc>
      </w:tr>
      <w:tr>
        <w:trPr>
          <w:trHeight w:val="170" w:hRule="atLeast"/>
        </w:trPr>
        <w:tc>
          <w:tcPr>
            <w:tcW w:w="7893" w:type="dxa"/>
            <w:tcBorders>
              <w:top w:val="single" w:sz="4" w:space="0" w:color="000000"/>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ind w:firstLine="220"/>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Inail c/anticipi</w:t>
            </w:r>
          </w:p>
        </w:tc>
        <w:tc>
          <w:tcPr>
            <w:tcW w:w="1744" w:type="dxa"/>
            <w:tcBorders>
              <w:top w:val="single" w:sz="4" w:space="0" w:color="000000"/>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ind w:firstLine="220"/>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8.516</w:t>
            </w:r>
          </w:p>
        </w:tc>
      </w:tr>
      <w:tr>
        <w:trPr>
          <w:trHeight w:val="170" w:hRule="atLeast"/>
        </w:trPr>
        <w:tc>
          <w:tcPr>
            <w:tcW w:w="7893" w:type="dxa"/>
            <w:tcBorders>
              <w:top w:val="single" w:sz="4" w:space="0" w:color="000000"/>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Totale crediti verso Erario</w:t>
            </w:r>
          </w:p>
        </w:tc>
        <w:tc>
          <w:tcPr>
            <w:tcW w:w="1744" w:type="dxa"/>
            <w:tcBorders>
              <w:top w:val="single" w:sz="4" w:space="0" w:color="000000"/>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ind w:firstLine="221"/>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26.322</w:t>
            </w:r>
          </w:p>
        </w:tc>
      </w:tr>
    </w:tbl>
    <w:p>
      <w:pPr>
        <w:pStyle w:val="WW-Rientronormale"/>
        <w:widowControl w:val="false"/>
        <w:ind w:left="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Rientronormale"/>
        <w:widowControl w:val="false"/>
        <w:ind w:left="0"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Gli altri crediti ammontano complessivamente a 2.136.914€ e si riferiscono ai crediti nei confronti di altri soggetti. Fra questi è presente il Ministero del Lavoro e delle Politiche Sociali per il finanziamento delle seguenti azioni progettuali PNRR pari a 1.620.000€: </w:t>
      </w:r>
    </w:p>
    <w:p>
      <w:pPr>
        <w:pStyle w:val="WW-Rientronormale"/>
        <w:widowControl w:val="false"/>
        <w:numPr>
          <w:ilvl w:val="0"/>
          <w:numId w:val="3"/>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softHyphen/>
        <w:t>SUB INVESTIMENTO 1.3.2 STAZIONI DI POSTA -CENTRO SERVIZI,</w:t>
      </w:r>
    </w:p>
    <w:p>
      <w:pPr>
        <w:pStyle w:val="WW-Rientronormale"/>
        <w:widowControl w:val="false"/>
        <w:numPr>
          <w:ilvl w:val="0"/>
          <w:numId w:val="3"/>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SUB INVESTIMENTO 1.3.1 HOUSING FIRST.</w:t>
      </w:r>
    </w:p>
    <w:p>
      <w:pPr>
        <w:pStyle w:val="Normal"/>
        <w:widowControl w:val="false"/>
        <w:jc w:val="both"/>
        <w:rPr>
          <w:rFonts w:ascii="Calibri" w:hAnsi="Calibri" w:cs="Calibri" w:asciiTheme="minorHAnsi" w:cstheme="minorHAnsi" w:hAnsiTheme="minorHAnsi"/>
          <w:b/>
          <w:i/>
          <w:i/>
        </w:rPr>
      </w:pPr>
      <w:r>
        <w:rPr>
          <w:rFonts w:cs="Calibri" w:cstheme="minorHAnsi" w:ascii="Calibri" w:hAnsi="Calibri"/>
          <w:b/>
          <w:i/>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6981"/>
        <w:gridCol w:w="2656"/>
      </w:tblGrid>
      <w:tr>
        <w:trPr>
          <w:tblHeader w:val="true"/>
          <w:trHeight w:val="20" w:hRule="atLeast"/>
        </w:trPr>
        <w:tc>
          <w:tcPr>
            <w:tcW w:w="9637" w:type="dxa"/>
            <w:gridSpan w:val="2"/>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DETTAGLIO CREDITI VERSO ALTRI</w:t>
            </w:r>
          </w:p>
        </w:tc>
      </w:tr>
      <w:tr>
        <w:trPr>
          <w:tblHeader w:val="true"/>
          <w:trHeight w:val="20" w:hRule="atLeast"/>
        </w:trPr>
        <w:tc>
          <w:tcPr>
            <w:tcW w:w="6981"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Descrizione</w:t>
            </w:r>
          </w:p>
        </w:tc>
        <w:tc>
          <w:tcPr>
            <w:tcW w:w="2656"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importo</w:t>
            </w:r>
          </w:p>
        </w:tc>
      </w:tr>
      <w:tr>
        <w:trPr>
          <w:trHeight w:val="20" w:hRule="atLeast"/>
        </w:trPr>
        <w:tc>
          <w:tcPr>
            <w:tcW w:w="69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Crediti verso altre amministrazioni pubbliche</w:t>
            </w:r>
          </w:p>
        </w:tc>
        <w:tc>
          <w:tcPr>
            <w:tcW w:w="2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1.914.176</w:t>
            </w:r>
          </w:p>
        </w:tc>
      </w:tr>
      <w:tr>
        <w:trPr>
          <w:trHeight w:val="20" w:hRule="atLeast"/>
        </w:trPr>
        <w:tc>
          <w:tcPr>
            <w:tcW w:w="69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Crediti verso altri soggetti privati</w:t>
            </w:r>
          </w:p>
        </w:tc>
        <w:tc>
          <w:tcPr>
            <w:tcW w:w="2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140.238</w:t>
            </w:r>
          </w:p>
        </w:tc>
      </w:tr>
      <w:tr>
        <w:trPr>
          <w:trHeight w:val="20" w:hRule="atLeast"/>
        </w:trPr>
        <w:tc>
          <w:tcPr>
            <w:tcW w:w="69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Crediti dalla gestione sociale</w:t>
            </w:r>
          </w:p>
        </w:tc>
        <w:tc>
          <w:tcPr>
            <w:tcW w:w="2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82.500</w:t>
            </w:r>
          </w:p>
        </w:tc>
      </w:tr>
      <w:tr>
        <w:trPr>
          <w:trHeight w:val="20" w:hRule="atLeast"/>
        </w:trPr>
        <w:tc>
          <w:tcPr>
            <w:tcW w:w="69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Altri crediti</w:t>
            </w:r>
          </w:p>
        </w:tc>
        <w:tc>
          <w:tcPr>
            <w:tcW w:w="2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r>
      <w:tr>
        <w:trPr>
          <w:trHeight w:val="20" w:hRule="atLeast"/>
        </w:trPr>
        <w:tc>
          <w:tcPr>
            <w:tcW w:w="69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Totale crediti verso altri</w:t>
            </w:r>
          </w:p>
        </w:tc>
        <w:tc>
          <w:tcPr>
            <w:tcW w:w="2656" w:type="dxa"/>
            <w:tcBorders>
              <w:top w:val="single" w:sz="4" w:space="0" w:color="000000"/>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2.136.914</w:t>
            </w:r>
          </w:p>
        </w:tc>
      </w:tr>
    </w:tbl>
    <w:p>
      <w:pPr>
        <w:pStyle w:val="Normal"/>
        <w:widowControl w:val="false"/>
        <w:jc w:val="both"/>
        <w:rPr>
          <w:rFonts w:ascii="Calibri" w:hAnsi="Calibri" w:cs="Calibri" w:asciiTheme="minorHAnsi" w:cstheme="minorHAnsi" w:hAnsiTheme="minorHAnsi"/>
          <w:b/>
          <w:i/>
          <w:i/>
        </w:rPr>
      </w:pPr>
      <w:r>
        <w:rPr>
          <w:rFonts w:cs="Calibri" w:cstheme="minorHAnsi" w:ascii="Calibri" w:hAnsi="Calibri"/>
          <w:b/>
          <w:i/>
        </w:rPr>
      </w:r>
    </w:p>
    <w:p>
      <w:pPr>
        <w:pStyle w:val="Normal"/>
        <w:widowControl w:val="false"/>
        <w:jc w:val="both"/>
        <w:rPr>
          <w:rFonts w:ascii="Calibri" w:hAnsi="Calibri" w:cs="Calibri" w:asciiTheme="minorHAnsi" w:cstheme="minorHAnsi" w:hAnsiTheme="minorHAnsi"/>
          <w:bCs/>
          <w:iCs/>
          <w:sz w:val="22"/>
          <w:szCs w:val="22"/>
        </w:rPr>
      </w:pPr>
      <w:r>
        <w:rPr>
          <w:rFonts w:cs="Calibri" w:ascii="Calibri" w:hAnsi="Calibri" w:asciiTheme="minorHAnsi" w:cstheme="minorHAnsi" w:hAnsiTheme="minorHAnsi"/>
          <w:bCs/>
          <w:iCs/>
          <w:sz w:val="22"/>
          <w:szCs w:val="22"/>
        </w:rPr>
        <w:t>Vi sono altresì crediti per fatture da emettere per 31.898€.</w:t>
      </w:r>
    </w:p>
    <w:p>
      <w:pPr>
        <w:pStyle w:val="Normal"/>
        <w:widowControl w:val="false"/>
        <w:jc w:val="both"/>
        <w:rPr>
          <w:rFonts w:ascii="Calibri" w:hAnsi="Calibri" w:cs="Calibri" w:asciiTheme="minorHAnsi" w:cstheme="minorHAnsi" w:hAnsiTheme="minorHAnsi"/>
          <w:b/>
          <w:i/>
          <w:i/>
        </w:rPr>
      </w:pPr>
      <w:r>
        <w:rPr>
          <w:rFonts w:cs="Calibri" w:cstheme="minorHAnsi" w:ascii="Calibri" w:hAnsi="Calibri"/>
          <w:b/>
          <w:i/>
        </w:rPr>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i/>
          <w:sz w:val="22"/>
          <w:szCs w:val="22"/>
        </w:rPr>
        <w:t>III. Attività finanziarie che non costituiscono immobilizzazioni</w:t>
      </w:r>
      <w:bookmarkStart w:id="1" w:name="AttAttFin"/>
    </w:p>
    <w:p>
      <w:pPr>
        <w:pStyle w:val="WW-Rientronormale"/>
        <w:widowControl w:val="false"/>
        <w:ind w:left="0"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Nel corso dell’esercizio non risultano iscritte poste per attività finanziarie che non costituiscono immobilizzazioni</w:t>
      </w:r>
    </w:p>
    <w:p>
      <w:pPr>
        <w:pStyle w:val="Normal"/>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widowControl w:val="false"/>
        <w:jc w:val="both"/>
        <w:rPr>
          <w:rFonts w:ascii="Calibri" w:hAnsi="Calibri" w:cs="Calibri" w:asciiTheme="minorHAnsi" w:cstheme="minorHAnsi" w:hAnsiTheme="minorHAnsi"/>
          <w:sz w:val="22"/>
          <w:szCs w:val="22"/>
        </w:rPr>
      </w:pPr>
      <w:bookmarkStart w:id="2" w:name="AttDisLiq"/>
      <w:bookmarkEnd w:id="1"/>
      <w:bookmarkEnd w:id="2"/>
      <w:r>
        <w:rPr>
          <w:rFonts w:cs="Calibri" w:ascii="Calibri" w:hAnsi="Calibri" w:asciiTheme="minorHAnsi" w:cstheme="minorHAnsi" w:hAnsiTheme="minorHAnsi"/>
          <w:b/>
          <w:i/>
          <w:sz w:val="22"/>
          <w:szCs w:val="22"/>
        </w:rPr>
        <w:t>IV. Disponibilità liquide</w:t>
      </w:r>
    </w:p>
    <w:p>
      <w:pPr>
        <w:pStyle w:val="Normal"/>
        <w:widowControl w:val="false"/>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Il saldo rappresenta le disponibilità liquide che risultano sul conto corrente bancario n. 6778,48 presso la Banca Monte dei Paschi di Siena Filiale di Montepulciano alla data di chiusura dell'esercizio</w:t>
      </w:r>
      <w:r>
        <w:rPr>
          <w:rFonts w:cs="Calibri" w:ascii="Calibri" w:hAnsi="Calibri" w:asciiTheme="minorHAnsi" w:cstheme="minorHAnsi" w:hAnsiTheme="minorHAnsi"/>
          <w:b/>
          <w:sz w:val="22"/>
          <w:szCs w:val="22"/>
        </w:rPr>
        <w:t>.</w:t>
      </w:r>
    </w:p>
    <w:p>
      <w:pPr>
        <w:pStyle w:val="Normal"/>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3490"/>
        <w:gridCol w:w="1591"/>
        <w:gridCol w:w="1536"/>
        <w:gridCol w:w="1284"/>
        <w:gridCol w:w="1737"/>
      </w:tblGrid>
      <w:tr>
        <w:trPr>
          <w:trHeight w:val="57" w:hRule="atLeast"/>
        </w:trPr>
        <w:tc>
          <w:tcPr>
            <w:tcW w:w="9638" w:type="dxa"/>
            <w:gridSpan w:val="5"/>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DISPONIBILITA' LIQUIDE</w:t>
            </w:r>
          </w:p>
        </w:tc>
      </w:tr>
      <w:tr>
        <w:trPr>
          <w:trHeight w:val="57" w:hRule="atLeast"/>
        </w:trPr>
        <w:tc>
          <w:tcPr>
            <w:tcW w:w="3490"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Descrizione</w:t>
            </w:r>
          </w:p>
        </w:tc>
        <w:tc>
          <w:tcPr>
            <w:tcW w:w="1591"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31/12/2024</w:t>
            </w:r>
          </w:p>
        </w:tc>
        <w:tc>
          <w:tcPr>
            <w:tcW w:w="1536"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Incrementi</w:t>
            </w:r>
          </w:p>
        </w:tc>
        <w:tc>
          <w:tcPr>
            <w:tcW w:w="1284"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Decrementi</w:t>
            </w:r>
          </w:p>
        </w:tc>
        <w:tc>
          <w:tcPr>
            <w:tcW w:w="1737"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31/12/2025</w:t>
            </w:r>
          </w:p>
        </w:tc>
      </w:tr>
      <w:tr>
        <w:trPr>
          <w:trHeight w:val="57" w:hRule="atLeast"/>
        </w:trPr>
        <w:tc>
          <w:tcPr>
            <w:tcW w:w="34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Cassa</w:t>
            </w:r>
          </w:p>
        </w:tc>
        <w:tc>
          <w:tcPr>
            <w:tcW w:w="15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2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7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57" w:hRule="atLeast"/>
        </w:trPr>
        <w:tc>
          <w:tcPr>
            <w:tcW w:w="34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Istituto tesoriere</w:t>
            </w:r>
          </w:p>
        </w:tc>
        <w:tc>
          <w:tcPr>
            <w:tcW w:w="15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3.545.274</w:t>
            </w:r>
          </w:p>
        </w:tc>
        <w:tc>
          <w:tcPr>
            <w:tcW w:w="1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5.452.938</w:t>
            </w:r>
          </w:p>
        </w:tc>
        <w:tc>
          <w:tcPr>
            <w:tcW w:w="12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4.378.640</w:t>
            </w:r>
          </w:p>
        </w:tc>
        <w:tc>
          <w:tcPr>
            <w:tcW w:w="17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4.619.572</w:t>
            </w:r>
          </w:p>
        </w:tc>
      </w:tr>
      <w:tr>
        <w:trPr>
          <w:trHeight w:val="57" w:hRule="atLeast"/>
        </w:trPr>
        <w:tc>
          <w:tcPr>
            <w:tcW w:w="34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Conto corrente postale</w:t>
            </w:r>
          </w:p>
        </w:tc>
        <w:tc>
          <w:tcPr>
            <w:tcW w:w="15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2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7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57" w:hRule="atLeast"/>
        </w:trPr>
        <w:tc>
          <w:tcPr>
            <w:tcW w:w="34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c>
          <w:tcPr>
            <w:tcW w:w="15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3.545.274</w:t>
            </w:r>
          </w:p>
        </w:tc>
        <w:tc>
          <w:tcPr>
            <w:tcW w:w="1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5.452.938</w:t>
            </w:r>
          </w:p>
        </w:tc>
        <w:tc>
          <w:tcPr>
            <w:tcW w:w="12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4.378.640</w:t>
            </w:r>
          </w:p>
        </w:tc>
        <w:tc>
          <w:tcPr>
            <w:tcW w:w="17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4.619.572</w:t>
            </w:r>
          </w:p>
        </w:tc>
      </w:tr>
    </w:tbl>
    <w:p>
      <w:pPr>
        <w:pStyle w:val="Normal"/>
        <w:widowControl w:val="false"/>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widowControl w:val="false"/>
        <w:numPr>
          <w:ilvl w:val="0"/>
          <w:numId w:val="8"/>
        </w:numPr>
        <w:jc w:val="both"/>
        <w:rPr>
          <w:rFonts w:ascii="Calibri" w:hAnsi="Calibri" w:cs="Calibri" w:asciiTheme="minorHAnsi" w:cstheme="minorHAnsi" w:hAnsiTheme="minorHAnsi"/>
          <w:sz w:val="22"/>
          <w:szCs w:val="22"/>
        </w:rPr>
      </w:pPr>
      <w:bookmarkStart w:id="3" w:name="AttRatRis"/>
      <w:bookmarkStart w:id="4" w:name="Copia_di_AttDisLiq_1"/>
      <w:bookmarkEnd w:id="3"/>
      <w:bookmarkEnd w:id="4"/>
      <w:r>
        <w:rPr>
          <w:rFonts w:cs="Calibri" w:ascii="Calibri" w:hAnsi="Calibri" w:asciiTheme="minorHAnsi" w:cstheme="minorHAnsi" w:hAnsiTheme="minorHAnsi"/>
          <w:b/>
          <w:bCs/>
          <w:i/>
          <w:sz w:val="22"/>
          <w:szCs w:val="22"/>
        </w:rPr>
        <w:t>RATEI E RISCONTI</w:t>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bCs/>
          <w:i/>
          <w:sz w:val="22"/>
          <w:szCs w:val="22"/>
        </w:rPr>
        <w:t>Ratei e risconti attivi (n. 7 art. 2427 c.c.)</w:t>
      </w:r>
    </w:p>
    <w:p>
      <w:pPr>
        <w:pStyle w:val="WW-Rientronormale"/>
        <w:widowControl w:val="false"/>
        <w:ind w:left="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bookmarkStart w:id="5" w:name="PasPatNet"/>
      <w:bookmarkStart w:id="6" w:name="Copia_di_AttRatRis_1"/>
      <w:bookmarkStart w:id="7" w:name="PasPatNet"/>
      <w:bookmarkStart w:id="8" w:name="Copia_di_AttRatRis_1"/>
      <w:bookmarkEnd w:id="8"/>
    </w:p>
    <w:p>
      <w:pPr>
        <w:pStyle w:val="WW-Rientronormale"/>
        <w:widowControl w:val="false"/>
        <w:ind w:left="0" w:hanging="0"/>
        <w:jc w:val="both"/>
        <w:rPr>
          <w:rFonts w:ascii="Calibri" w:hAnsi="Calibri" w:cs="Calibri" w:asciiTheme="minorHAnsi" w:cstheme="minorHAnsi" w:hAnsiTheme="minorHAnsi"/>
          <w:kern w:val="2"/>
          <w:sz w:val="22"/>
          <w:szCs w:val="22"/>
        </w:rPr>
      </w:pPr>
      <w:r>
        <w:rPr>
          <w:rFonts w:cs="Calibri" w:ascii="Calibri" w:hAnsi="Calibri" w:asciiTheme="minorHAnsi" w:cstheme="minorHAnsi" w:hAnsiTheme="minorHAnsi"/>
          <w:kern w:val="2"/>
          <w:sz w:val="22"/>
          <w:szCs w:val="22"/>
        </w:rPr>
        <w:t>Di seguito la tabella che illustra le movimentazioni in incremento e decremento che hanno interessato i ratei e risconti attivi.</w:t>
      </w:r>
    </w:p>
    <w:p>
      <w:pPr>
        <w:pStyle w:val="WW-Rientronormale"/>
        <w:widowControl w:val="false"/>
        <w:ind w:left="0" w:hanging="0"/>
        <w:jc w:val="both"/>
        <w:rPr>
          <w:rFonts w:ascii="Calibri" w:hAnsi="Calibri" w:cs="Calibri" w:asciiTheme="minorHAnsi" w:cstheme="minorHAnsi" w:hAnsiTheme="minorHAnsi"/>
          <w:kern w:val="2"/>
          <w:sz w:val="22"/>
          <w:szCs w:val="22"/>
        </w:rPr>
      </w:pPr>
      <w:r>
        <w:rPr>
          <w:rFonts w:cs="Calibri" w:cstheme="minorHAnsi" w:ascii="Calibri" w:hAnsi="Calibri"/>
          <w:kern w:val="2"/>
          <w:sz w:val="22"/>
          <w:szCs w:val="22"/>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3487"/>
        <w:gridCol w:w="1538"/>
        <w:gridCol w:w="1537"/>
        <w:gridCol w:w="1396"/>
        <w:gridCol w:w="1680"/>
      </w:tblGrid>
      <w:tr>
        <w:trPr>
          <w:trHeight w:val="113" w:hRule="atLeast"/>
        </w:trPr>
        <w:tc>
          <w:tcPr>
            <w:tcW w:w="9638" w:type="dxa"/>
            <w:gridSpan w:val="5"/>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RATEI E RISCONTI ATTIVI</w:t>
            </w:r>
          </w:p>
        </w:tc>
      </w:tr>
      <w:tr>
        <w:trPr>
          <w:trHeight w:val="113" w:hRule="atLeast"/>
        </w:trPr>
        <w:tc>
          <w:tcPr>
            <w:tcW w:w="3487"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Descrizione</w:t>
            </w:r>
          </w:p>
        </w:tc>
        <w:tc>
          <w:tcPr>
            <w:tcW w:w="1538"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31/12/2024</w:t>
            </w:r>
          </w:p>
        </w:tc>
        <w:tc>
          <w:tcPr>
            <w:tcW w:w="1537"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Incrementi</w:t>
            </w:r>
          </w:p>
        </w:tc>
        <w:tc>
          <w:tcPr>
            <w:tcW w:w="1396"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Decrementi</w:t>
            </w:r>
          </w:p>
        </w:tc>
        <w:tc>
          <w:tcPr>
            <w:tcW w:w="1680"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31/12/2025</w:t>
            </w:r>
          </w:p>
        </w:tc>
      </w:tr>
      <w:tr>
        <w:trPr>
          <w:trHeight w:val="113" w:hRule="atLeast"/>
        </w:trPr>
        <w:tc>
          <w:tcPr>
            <w:tcW w:w="34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Ratei attivi</w:t>
            </w:r>
          </w:p>
        </w:tc>
        <w:tc>
          <w:tcPr>
            <w:tcW w:w="1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5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394.889</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6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394.889</w:t>
            </w:r>
          </w:p>
        </w:tc>
      </w:tr>
      <w:tr>
        <w:trPr>
          <w:trHeight w:val="113" w:hRule="atLeast"/>
        </w:trPr>
        <w:tc>
          <w:tcPr>
            <w:tcW w:w="34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Risconti attivi</w:t>
            </w:r>
          </w:p>
        </w:tc>
        <w:tc>
          <w:tcPr>
            <w:tcW w:w="1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5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6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113" w:hRule="atLeast"/>
        </w:trPr>
        <w:tc>
          <w:tcPr>
            <w:tcW w:w="34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c>
          <w:tcPr>
            <w:tcW w:w="1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5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394.889</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0</w:t>
            </w:r>
          </w:p>
        </w:tc>
        <w:tc>
          <w:tcPr>
            <w:tcW w:w="16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394.889</w:t>
            </w:r>
          </w:p>
        </w:tc>
      </w:tr>
    </w:tbl>
    <w:p>
      <w:pPr>
        <w:pStyle w:val="WW-Rientronormale"/>
        <w:widowControl w:val="false"/>
        <w:ind w:left="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Rientronormale"/>
        <w:widowControl w:val="false"/>
        <w:ind w:left="0"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 ratei attivi ammontano a 394.889€ e sono dettagliati come nella tabella seguente:</w:t>
      </w:r>
    </w:p>
    <w:p>
      <w:pPr>
        <w:pStyle w:val="WW-Rientronormale"/>
        <w:widowControl w:val="false"/>
        <w:ind w:left="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7444"/>
        <w:gridCol w:w="2193"/>
      </w:tblGrid>
      <w:tr>
        <w:trPr>
          <w:trHeight w:val="20" w:hRule="atLeast"/>
        </w:trPr>
        <w:tc>
          <w:tcPr>
            <w:tcW w:w="7444"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Ratei Attivi</w:t>
            </w:r>
          </w:p>
        </w:tc>
        <w:tc>
          <w:tcPr>
            <w:tcW w:w="2193"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Importo</w:t>
            </w:r>
          </w:p>
        </w:tc>
      </w:tr>
      <w:tr>
        <w:trPr>
          <w:trHeight w:val="20" w:hRule="atLeast"/>
        </w:trPr>
        <w:tc>
          <w:tcPr>
            <w:tcW w:w="74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both"/>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2025 - QUOTA ORDINARIA DGRT 899 DEL 30/06/25</w:t>
            </w:r>
          </w:p>
        </w:tc>
        <w:tc>
          <w:tcPr>
            <w:tcW w:w="21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394.889</w:t>
            </w:r>
          </w:p>
        </w:tc>
      </w:tr>
      <w:tr>
        <w:trPr>
          <w:trHeight w:val="20" w:hRule="atLeast"/>
        </w:trPr>
        <w:tc>
          <w:tcPr>
            <w:tcW w:w="74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both"/>
              <w:rPr>
                <w:rFonts w:ascii="Calibri" w:hAnsi="Calibri" w:cs="Calibri" w:asciiTheme="minorHAnsi" w:cstheme="minorHAnsi" w:hAnsiTheme="minorHAnsi"/>
                <w:b/>
                <w:bCs/>
                <w:lang w:eastAsia="it-IT"/>
              </w:rPr>
            </w:pPr>
            <w:r>
              <w:rPr>
                <w:rFonts w:cs="Calibri" w:ascii="Calibri" w:hAnsi="Calibri" w:asciiTheme="minorHAnsi" w:cstheme="minorHAnsi" w:hAnsiTheme="minorHAnsi"/>
                <w:b/>
                <w:bCs/>
                <w:lang w:eastAsia="it-IT"/>
              </w:rPr>
              <w:t>Totale Ratei Attivi</w:t>
            </w:r>
          </w:p>
        </w:tc>
        <w:tc>
          <w:tcPr>
            <w:tcW w:w="21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394.889</w:t>
            </w:r>
          </w:p>
        </w:tc>
      </w:tr>
    </w:tbl>
    <w:p>
      <w:pPr>
        <w:pStyle w:val="WW-Rientronormale"/>
        <w:widowControl w:val="false"/>
        <w:ind w:left="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Rientronormale"/>
        <w:widowControl w:val="false"/>
        <w:ind w:left="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Rientronormale"/>
        <w:widowControl w:val="false"/>
        <w:ind w:left="0"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PASSIVITA’</w:t>
      </w:r>
    </w:p>
    <w:p>
      <w:pPr>
        <w:pStyle w:val="WW-Rientronormale"/>
        <w:widowControl w:val="false"/>
        <w:ind w:left="0" w:hanging="0"/>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widowControl w:val="false"/>
        <w:numPr>
          <w:ilvl w:val="0"/>
          <w:numId w:val="4"/>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i/>
          <w:sz w:val="22"/>
          <w:szCs w:val="22"/>
        </w:rPr>
        <w:t>PATRIMONIO NETTO</w:t>
      </w:r>
    </w:p>
    <w:p>
      <w:pPr>
        <w:pStyle w:val="Normal"/>
        <w:widowControl w:val="false"/>
        <w:ind w:left="72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Standard"/>
        <w:widowControl w:val="false"/>
        <w:tabs>
          <w:tab w:val="clear" w:pos="720"/>
          <w:tab w:val="left" w:pos="0" w:leader="none"/>
          <w:tab w:val="left" w:pos="2160" w:leader="none"/>
          <w:tab w:val="left" w:pos="13604" w:leader="none"/>
        </w:tabs>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shd w:fill="FFFFFF" w:val="clear"/>
        </w:rPr>
        <w:t>Di seguito la tabella illustrativa delle variazioni che hanno interessato il patrimonio netto nel corso dell’anno 2025.</w:t>
      </w:r>
    </w:p>
    <w:p>
      <w:pPr>
        <w:pStyle w:val="WW-Rientronormale"/>
        <w:widowControl w:val="false"/>
        <w:ind w:left="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p>
    <w:tbl>
      <w:tblPr>
        <w:tblW w:w="9636" w:type="dxa"/>
        <w:jc w:val="left"/>
        <w:tblInd w:w="61" w:type="dxa"/>
        <w:tblLayout w:type="fixed"/>
        <w:tblCellMar>
          <w:top w:w="0" w:type="dxa"/>
          <w:left w:w="28" w:type="dxa"/>
          <w:bottom w:w="0" w:type="dxa"/>
          <w:right w:w="28" w:type="dxa"/>
        </w:tblCellMar>
        <w:tblLook w:firstRow="0" w:noVBand="0" w:lastRow="0" w:firstColumn="0" w:lastColumn="0" w:noHBand="0" w:val="0000"/>
      </w:tblPr>
      <w:tblGrid>
        <w:gridCol w:w="2833"/>
        <w:gridCol w:w="1011"/>
        <w:gridCol w:w="976"/>
        <w:gridCol w:w="850"/>
        <w:gridCol w:w="997"/>
        <w:gridCol w:w="850"/>
        <w:gridCol w:w="990"/>
        <w:gridCol w:w="1127"/>
      </w:tblGrid>
      <w:tr>
        <w:trPr>
          <w:tblHeader w:val="true"/>
          <w:trHeight w:val="20" w:hRule="atLeast"/>
        </w:trPr>
        <w:tc>
          <w:tcPr>
            <w:tcW w:w="283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b/>
                <w:i/>
              </w:rPr>
              <w:t>Patrimonio netto</w:t>
            </w:r>
          </w:p>
        </w:tc>
        <w:tc>
          <w:tcPr>
            <w:tcW w:w="1011"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b/>
                <w:i/>
              </w:rPr>
              <w:t>Consistenza iniziale</w:t>
            </w:r>
          </w:p>
        </w:tc>
        <w:tc>
          <w:tcPr>
            <w:tcW w:w="976"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jc w:val="center"/>
              <w:rPr>
                <w:rFonts w:ascii="Calibri" w:hAnsi="Calibri" w:cs="Calibri" w:asciiTheme="minorHAnsi" w:cstheme="minorHAnsi" w:hAnsiTheme="minorHAnsi"/>
                <w:sz w:val="16"/>
                <w:szCs w:val="16"/>
              </w:rPr>
            </w:pPr>
            <w:r>
              <w:rPr>
                <w:rFonts w:cs="Calibri" w:ascii="Calibri" w:hAnsi="Calibri" w:asciiTheme="minorHAnsi" w:cstheme="minorHAnsi" w:hAnsiTheme="minorHAnsi"/>
                <w:b/>
                <w:i/>
                <w:sz w:val="16"/>
                <w:szCs w:val="16"/>
              </w:rPr>
              <w:t>Giroconti e riclassificazioni</w:t>
            </w:r>
          </w:p>
        </w:tc>
        <w:tc>
          <w:tcPr>
            <w:tcW w:w="850"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jc w:val="center"/>
              <w:rPr>
                <w:rFonts w:ascii="Calibri" w:hAnsi="Calibri" w:cs="Calibri" w:asciiTheme="minorHAnsi" w:cstheme="minorHAnsi" w:hAnsiTheme="minorHAnsi"/>
                <w:sz w:val="16"/>
                <w:szCs w:val="16"/>
              </w:rPr>
            </w:pPr>
            <w:r>
              <w:rPr>
                <w:rFonts w:cs="Calibri" w:ascii="Calibri" w:hAnsi="Calibri" w:asciiTheme="minorHAnsi" w:cstheme="minorHAnsi" w:hAnsiTheme="minorHAnsi"/>
                <w:b/>
                <w:i/>
                <w:sz w:val="16"/>
                <w:szCs w:val="16"/>
              </w:rPr>
              <w:t>Assegnazioni nel corso dell'esercizio</w:t>
            </w:r>
          </w:p>
        </w:tc>
        <w:tc>
          <w:tcPr>
            <w:tcW w:w="997"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jc w:val="center"/>
              <w:rPr>
                <w:rFonts w:ascii="Calibri" w:hAnsi="Calibri" w:cs="Calibri" w:asciiTheme="minorHAnsi" w:cstheme="minorHAnsi" w:hAnsiTheme="minorHAnsi"/>
                <w:sz w:val="16"/>
                <w:szCs w:val="16"/>
              </w:rPr>
            </w:pPr>
            <w:r>
              <w:rPr>
                <w:rFonts w:cs="Calibri" w:ascii="Calibri" w:hAnsi="Calibri" w:asciiTheme="minorHAnsi" w:cstheme="minorHAnsi" w:hAnsiTheme="minorHAnsi"/>
                <w:b/>
                <w:i/>
                <w:sz w:val="16"/>
                <w:szCs w:val="16"/>
              </w:rPr>
              <w:t>Utilizzi per sterilizzazioni nel corso dell'esercizio</w:t>
            </w:r>
          </w:p>
        </w:tc>
        <w:tc>
          <w:tcPr>
            <w:tcW w:w="850"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jc w:val="center"/>
              <w:rPr>
                <w:rFonts w:ascii="Calibri" w:hAnsi="Calibri" w:cs="Calibri" w:asciiTheme="minorHAnsi" w:cstheme="minorHAnsi" w:hAnsiTheme="minorHAnsi"/>
                <w:sz w:val="16"/>
                <w:szCs w:val="16"/>
              </w:rPr>
            </w:pPr>
            <w:r>
              <w:rPr>
                <w:rFonts w:cs="Calibri" w:ascii="Calibri" w:hAnsi="Calibri" w:asciiTheme="minorHAnsi" w:cstheme="minorHAnsi" w:hAnsiTheme="minorHAnsi"/>
                <w:b/>
                <w:i/>
                <w:sz w:val="16"/>
                <w:szCs w:val="16"/>
              </w:rPr>
              <w:t>Altre variazioni (+/-)</w:t>
            </w:r>
          </w:p>
        </w:tc>
        <w:tc>
          <w:tcPr>
            <w:tcW w:w="990"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jc w:val="center"/>
              <w:rPr>
                <w:rFonts w:ascii="Calibri" w:hAnsi="Calibri" w:cs="Calibri" w:asciiTheme="minorHAnsi" w:cstheme="minorHAnsi" w:hAnsiTheme="minorHAnsi"/>
                <w:sz w:val="16"/>
                <w:szCs w:val="16"/>
              </w:rPr>
            </w:pPr>
            <w:r>
              <w:rPr>
                <w:rFonts w:cs="Calibri" w:ascii="Calibri" w:hAnsi="Calibri" w:asciiTheme="minorHAnsi" w:cstheme="minorHAnsi" w:hAnsiTheme="minorHAnsi"/>
                <w:b/>
                <w:i/>
                <w:sz w:val="16"/>
                <w:szCs w:val="16"/>
              </w:rPr>
              <w:t>Risultato d'esercizio (+/-)</w:t>
            </w:r>
          </w:p>
        </w:tc>
        <w:tc>
          <w:tcPr>
            <w:tcW w:w="1127"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b/>
                <w:i/>
              </w:rPr>
              <w:t xml:space="preserve"> </w:t>
            </w:r>
            <w:r>
              <w:rPr>
                <w:rFonts w:cs="Calibri" w:ascii="Calibri" w:hAnsi="Calibri" w:asciiTheme="minorHAnsi" w:cstheme="minorHAnsi" w:hAnsiTheme="minorHAnsi"/>
                <w:b/>
                <w:i/>
              </w:rPr>
              <w:t>Consistenza finale</w:t>
            </w:r>
          </w:p>
        </w:tc>
      </w:tr>
      <w:tr>
        <w:trPr>
          <w:trHeight w:val="20" w:hRule="atLeast"/>
        </w:trPr>
        <w:tc>
          <w:tcPr>
            <w:tcW w:w="28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b/>
              </w:rPr>
              <w:t>Fondo di dotazione</w:t>
            </w:r>
          </w:p>
        </w:tc>
        <w:tc>
          <w:tcPr>
            <w:tcW w:w="10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sz w:val="18"/>
                <w:szCs w:val="18"/>
              </w:rPr>
            </w:pPr>
            <w:r>
              <w:rPr>
                <w:rFonts w:cs="Calibri" w:ascii="Calibri" w:hAnsi="Calibri" w:asciiTheme="minorHAnsi" w:cstheme="minorHAnsi" w:hAnsiTheme="minorHAnsi"/>
                <w:b/>
                <w:bCs/>
                <w:color w:val="000000"/>
                <w:sz w:val="18"/>
                <w:szCs w:val="18"/>
              </w:rPr>
              <w:t>29.558</w:t>
            </w:r>
          </w:p>
        </w:tc>
        <w:tc>
          <w:tcPr>
            <w:tcW w:w="9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sz w:val="18"/>
                <w:szCs w:val="18"/>
              </w:rPr>
            </w:pPr>
            <w:r>
              <w:rPr>
                <w:rFonts w:cs="Calibri" w:cstheme="minorHAnsi" w:ascii="Calibri" w:hAnsi="Calibri"/>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11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sz w:val="18"/>
                <w:szCs w:val="18"/>
              </w:rPr>
            </w:pPr>
            <w:r>
              <w:rPr>
                <w:rFonts w:cs="Calibri" w:ascii="Calibri" w:hAnsi="Calibri" w:asciiTheme="minorHAnsi" w:cstheme="minorHAnsi" w:hAnsiTheme="minorHAnsi"/>
                <w:b/>
                <w:bCs/>
                <w:color w:val="000000"/>
                <w:sz w:val="18"/>
                <w:szCs w:val="18"/>
              </w:rPr>
              <w:t>29.558</w:t>
            </w:r>
          </w:p>
        </w:tc>
      </w:tr>
      <w:tr>
        <w:trPr>
          <w:trHeight w:val="20" w:hRule="atLeast"/>
        </w:trPr>
        <w:tc>
          <w:tcPr>
            <w:tcW w:w="28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i/>
              </w:rPr>
              <w:t>Riserve di utili disponibili</w:t>
            </w:r>
          </w:p>
        </w:tc>
        <w:tc>
          <w:tcPr>
            <w:tcW w:w="10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sz w:val="18"/>
                <w:szCs w:val="18"/>
              </w:rPr>
            </w:pPr>
            <w:r>
              <w:rPr>
                <w:rFonts w:cs="Calibri" w:ascii="Calibri" w:hAnsi="Calibri" w:asciiTheme="minorHAnsi" w:cstheme="minorHAnsi" w:hAnsiTheme="minorHAnsi"/>
                <w:i/>
                <w:iCs/>
                <w:color w:val="000000"/>
                <w:sz w:val="18"/>
                <w:szCs w:val="18"/>
              </w:rPr>
              <w:t>29.558</w:t>
            </w:r>
          </w:p>
        </w:tc>
        <w:tc>
          <w:tcPr>
            <w:tcW w:w="9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sz w:val="18"/>
                <w:szCs w:val="18"/>
              </w:rPr>
            </w:pPr>
            <w:r>
              <w:rPr>
                <w:rFonts w:cs="Calibri" w:cstheme="minorHAnsi" w:ascii="Calibri" w:hAnsi="Calibri"/>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i/>
                <w:i/>
                <w:sz w:val="18"/>
                <w:szCs w:val="18"/>
              </w:rPr>
            </w:pPr>
            <w:r>
              <w:rPr/>
            </w:r>
          </w:p>
        </w:tc>
        <w:tc>
          <w:tcPr>
            <w:tcW w:w="9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i/>
                <w:i/>
                <w:sz w:val="18"/>
                <w:szCs w:val="18"/>
              </w:rPr>
            </w:pPr>
            <w:r>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i/>
                <w:i/>
                <w:sz w:val="18"/>
                <w:szCs w:val="18"/>
              </w:rPr>
            </w:pPr>
            <w:r>
              <w:rPr/>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i/>
                <w:i/>
                <w:sz w:val="18"/>
                <w:szCs w:val="18"/>
              </w:rPr>
            </w:pPr>
            <w:r>
              <w:rPr/>
            </w:r>
          </w:p>
        </w:tc>
        <w:tc>
          <w:tcPr>
            <w:tcW w:w="11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i/>
                <w:i/>
                <w:sz w:val="18"/>
                <w:szCs w:val="18"/>
              </w:rPr>
            </w:pPr>
            <w:r>
              <w:rPr>
                <w:rFonts w:cs="Calibri" w:ascii="Calibri" w:hAnsi="Calibri" w:asciiTheme="minorHAnsi" w:cstheme="minorHAnsi" w:hAnsiTheme="minorHAnsi"/>
                <w:i/>
                <w:iCs/>
                <w:color w:val="000000"/>
                <w:sz w:val="18"/>
                <w:szCs w:val="18"/>
              </w:rPr>
              <w:t>29.558</w:t>
            </w:r>
          </w:p>
        </w:tc>
      </w:tr>
      <w:tr>
        <w:trPr>
          <w:trHeight w:val="20" w:hRule="atLeast"/>
        </w:trPr>
        <w:tc>
          <w:tcPr>
            <w:tcW w:w="28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b/>
              </w:rPr>
              <w:t>Finanziamenti per investimenti</w:t>
            </w:r>
          </w:p>
        </w:tc>
        <w:tc>
          <w:tcPr>
            <w:tcW w:w="10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11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r>
      <w:tr>
        <w:trPr>
          <w:trHeight w:val="20" w:hRule="atLeast"/>
        </w:trPr>
        <w:tc>
          <w:tcPr>
            <w:tcW w:w="28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b/>
              </w:rPr>
              <w:t>Finanziamenti da RT</w:t>
            </w:r>
          </w:p>
        </w:tc>
        <w:tc>
          <w:tcPr>
            <w:tcW w:w="10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7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rPr>
                <w:rFonts w:ascii="Calibri" w:hAnsi="Calibri" w:cs="Calibri" w:asciiTheme="minorHAnsi" w:cstheme="minorHAnsi" w:hAnsiTheme="minorHAnsi"/>
                <w:sz w:val="18"/>
                <w:szCs w:val="18"/>
              </w:rPr>
            </w:pPr>
            <w:r>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11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r>
      <w:tr>
        <w:trPr>
          <w:trHeight w:val="20" w:hRule="atLeast"/>
        </w:trPr>
        <w:tc>
          <w:tcPr>
            <w:tcW w:w="28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b/>
              </w:rPr>
              <w:t>Finanziamenti da altri</w:t>
            </w:r>
          </w:p>
        </w:tc>
        <w:tc>
          <w:tcPr>
            <w:tcW w:w="10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11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r>
      <w:tr>
        <w:trPr>
          <w:trHeight w:val="20" w:hRule="atLeast"/>
        </w:trPr>
        <w:tc>
          <w:tcPr>
            <w:tcW w:w="28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b/>
              </w:rPr>
              <w:t>Riseve da donazioni e lasciti vincolati ad investimenti</w:t>
            </w:r>
          </w:p>
        </w:tc>
        <w:tc>
          <w:tcPr>
            <w:tcW w:w="10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11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r>
      <w:tr>
        <w:trPr>
          <w:trHeight w:val="20" w:hRule="atLeast"/>
        </w:trPr>
        <w:tc>
          <w:tcPr>
            <w:tcW w:w="28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b/>
              </w:rPr>
              <w:t>Contributi per ripiano perdite</w:t>
            </w:r>
          </w:p>
        </w:tc>
        <w:tc>
          <w:tcPr>
            <w:tcW w:w="10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11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r>
      <w:tr>
        <w:trPr>
          <w:trHeight w:val="20" w:hRule="atLeast"/>
        </w:trPr>
        <w:tc>
          <w:tcPr>
            <w:tcW w:w="28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b/>
              </w:rPr>
              <w:t>Utili (perdite) portate a nuovo</w:t>
            </w:r>
          </w:p>
        </w:tc>
        <w:tc>
          <w:tcPr>
            <w:tcW w:w="10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Fonts w:cs="Calibri" w:ascii="Calibri" w:hAnsi="Calibri" w:asciiTheme="minorHAnsi" w:cstheme="minorHAnsi" w:hAnsiTheme="minorHAnsi"/>
                <w:b/>
                <w:bCs/>
                <w:color w:val="000000"/>
                <w:sz w:val="18"/>
                <w:szCs w:val="18"/>
              </w:rPr>
              <w:t>-228.944</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
          </w:p>
        </w:tc>
        <w:tc>
          <w:tcPr>
            <w:tcW w:w="11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Fonts w:cs="Calibri" w:ascii="Calibri" w:hAnsi="Calibri" w:asciiTheme="minorHAnsi" w:cstheme="minorHAnsi" w:hAnsiTheme="minorHAnsi"/>
                <w:b/>
                <w:bCs/>
                <w:color w:val="000000"/>
                <w:sz w:val="18"/>
                <w:szCs w:val="18"/>
              </w:rPr>
              <w:t>-228.944</w:t>
            </w:r>
          </w:p>
        </w:tc>
      </w:tr>
      <w:tr>
        <w:trPr>
          <w:trHeight w:val="20" w:hRule="atLeast"/>
        </w:trPr>
        <w:tc>
          <w:tcPr>
            <w:tcW w:w="28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b/>
              </w:rPr>
              <w:t>Utile (perdita) d'esercizio</w:t>
            </w:r>
          </w:p>
        </w:tc>
        <w:tc>
          <w:tcPr>
            <w:tcW w:w="10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sz w:val="18"/>
                <w:szCs w:val="18"/>
              </w:rPr>
            </w:pPr>
            <w:r>
              <w:rPr>
                <w:rFonts w:cs="Calibri" w:ascii="Calibri" w:hAnsi="Calibri" w:asciiTheme="minorHAnsi" w:cstheme="minorHAnsi" w:hAnsiTheme="minorHAnsi"/>
                <w:b/>
                <w:bCs/>
                <w:color w:val="000000"/>
                <w:sz w:val="18"/>
                <w:szCs w:val="18"/>
              </w:rPr>
              <w:t>-228.944</w:t>
            </w:r>
          </w:p>
        </w:tc>
        <w:tc>
          <w:tcPr>
            <w:tcW w:w="9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bCs/>
                <w:color w:val="000000"/>
                <w:sz w:val="18"/>
                <w:szCs w:val="18"/>
              </w:rPr>
            </w:pPr>
            <w:r>
              <w:rPr>
                <w:rFonts w:cs="Calibri" w:ascii="Calibri" w:hAnsi="Calibri" w:asciiTheme="minorHAnsi" w:cstheme="minorHAnsi" w:hAnsiTheme="minorHAnsi"/>
                <w:b/>
                <w:bCs/>
                <w:color w:val="000000"/>
                <w:sz w:val="18"/>
                <w:szCs w:val="18"/>
              </w:rPr>
              <w:t>228.944</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Fonts w:cs="Calibri" w:cstheme="minorHAnsi" w:ascii="Calibri" w:hAnsi="Calibri"/>
                <w:b/>
                <w:sz w:val="18"/>
                <w:szCs w:val="18"/>
              </w:rPr>
            </w:r>
          </w:p>
        </w:tc>
        <w:tc>
          <w:tcPr>
            <w:tcW w:w="9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Fonts w:cs="Calibri" w:cstheme="minorHAnsi" w:ascii="Calibri" w:hAnsi="Calibri"/>
                <w:b/>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sz w:val="18"/>
                <w:szCs w:val="18"/>
              </w:rPr>
            </w:pPr>
            <w:r>
              <w:rPr>
                <w:rFonts w:cs="Calibri" w:cstheme="minorHAnsi" w:ascii="Calibri" w:hAnsi="Calibri"/>
                <w:b/>
                <w:sz w:val="18"/>
                <w:szCs w:val="18"/>
              </w:rPr>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highlight w:val="magenta"/>
              </w:rPr>
            </w:pPr>
            <w:r>
              <w:rPr>
                <w:rFonts w:cs="Calibri" w:ascii="Calibri" w:hAnsi="Calibri" w:asciiTheme="minorHAnsi" w:cstheme="minorHAnsi" w:hAnsiTheme="minorHAnsi"/>
                <w:b/>
                <w:bCs/>
                <w:color w:val="000000"/>
              </w:rPr>
              <w:t>54.965</w:t>
            </w:r>
          </w:p>
        </w:tc>
        <w:tc>
          <w:tcPr>
            <w:tcW w:w="11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highlight w:val="magenta"/>
              </w:rPr>
            </w:pPr>
            <w:r>
              <w:rPr>
                <w:rFonts w:cs="Calibri" w:ascii="Calibri" w:hAnsi="Calibri" w:asciiTheme="minorHAnsi" w:cstheme="minorHAnsi" w:hAnsiTheme="minorHAnsi"/>
                <w:b/>
                <w:bCs/>
                <w:color w:val="000000"/>
              </w:rPr>
              <w:t>54.965</w:t>
            </w:r>
          </w:p>
        </w:tc>
      </w:tr>
      <w:tr>
        <w:trPr>
          <w:trHeight w:val="20" w:hRule="atLeast"/>
        </w:trPr>
        <w:tc>
          <w:tcPr>
            <w:tcW w:w="28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rPr>
            </w:pPr>
            <w:r>
              <w:rPr>
                <w:rFonts w:cs="Calibri" w:ascii="Calibri" w:hAnsi="Calibri" w:asciiTheme="minorHAnsi" w:cstheme="minorHAnsi" w:hAnsiTheme="minorHAnsi"/>
                <w:b/>
              </w:rPr>
              <w:t>Totale patrimonio netto</w:t>
            </w:r>
          </w:p>
        </w:tc>
        <w:tc>
          <w:tcPr>
            <w:tcW w:w="10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sz w:val="18"/>
                <w:szCs w:val="18"/>
              </w:rPr>
            </w:pPr>
            <w:r>
              <w:rPr>
                <w:rFonts w:cs="Calibri" w:ascii="Calibri" w:hAnsi="Calibri" w:asciiTheme="minorHAnsi" w:cstheme="minorHAnsi" w:hAnsiTheme="minorHAnsi"/>
                <w:b/>
                <w:bCs/>
                <w:color w:val="000000"/>
                <w:sz w:val="18"/>
                <w:szCs w:val="18"/>
              </w:rPr>
              <w:t>-199.386</w:t>
            </w:r>
          </w:p>
        </w:tc>
        <w:tc>
          <w:tcPr>
            <w:tcW w:w="9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sz w:val="18"/>
                <w:szCs w:val="18"/>
              </w:rPr>
            </w:pPr>
            <w:r>
              <w:rPr>
                <w:rFonts w:cs="Calibri" w:ascii="Calibri" w:hAnsi="Calibri" w:asciiTheme="minorHAnsi" w:cstheme="minorHAnsi" w:hAnsiTheme="minorHAnsi"/>
                <w:b/>
                <w:bCs/>
                <w:color w:val="000000"/>
                <w:sz w:val="18"/>
                <w:szCs w:val="18"/>
              </w:rPr>
              <w:t>0</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sz w:val="18"/>
                <w:szCs w:val="18"/>
              </w:rPr>
            </w:pPr>
            <w:r>
              <w:rPr>
                <w:rFonts w:cs="Calibri" w:ascii="Calibri" w:hAnsi="Calibri" w:asciiTheme="minorHAnsi" w:cstheme="minorHAnsi" w:hAnsiTheme="minorHAnsi"/>
                <w:b/>
                <w:bCs/>
                <w:color w:val="000000"/>
                <w:sz w:val="18"/>
                <w:szCs w:val="18"/>
              </w:rPr>
              <w:t>0</w:t>
            </w:r>
          </w:p>
        </w:tc>
        <w:tc>
          <w:tcPr>
            <w:tcW w:w="99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sz w:val="18"/>
                <w:szCs w:val="18"/>
              </w:rPr>
            </w:pPr>
            <w:r>
              <w:rPr>
                <w:rFonts w:cs="Calibri" w:ascii="Calibri" w:hAnsi="Calibri" w:asciiTheme="minorHAnsi" w:cstheme="minorHAnsi" w:hAnsiTheme="minorHAnsi"/>
                <w:b/>
                <w:bCs/>
                <w:color w:val="000000"/>
                <w:sz w:val="18"/>
                <w:szCs w:val="18"/>
              </w:rPr>
              <w:t>0</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sz w:val="18"/>
                <w:szCs w:val="18"/>
              </w:rPr>
            </w:pPr>
            <w:r>
              <w:rPr>
                <w:rFonts w:cs="Calibri" w:ascii="Calibri" w:hAnsi="Calibri" w:asciiTheme="minorHAnsi" w:cstheme="minorHAnsi" w:hAnsiTheme="minorHAnsi"/>
                <w:b/>
                <w:bCs/>
                <w:color w:val="000000"/>
                <w:sz w:val="18"/>
                <w:szCs w:val="18"/>
              </w:rPr>
              <w:t>0</w:t>
            </w:r>
          </w:p>
        </w:tc>
        <w:tc>
          <w:tcPr>
            <w:tcW w:w="9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rPr>
            </w:pPr>
            <w:r>
              <w:rPr>
                <w:rFonts w:cs="Calibri" w:ascii="Calibri" w:hAnsi="Calibri" w:asciiTheme="minorHAnsi" w:cstheme="minorHAnsi" w:hAnsiTheme="minorHAnsi"/>
                <w:b/>
                <w:bCs/>
                <w:color w:val="000000"/>
              </w:rPr>
              <w:t>54.965</w:t>
            </w:r>
          </w:p>
        </w:tc>
        <w:tc>
          <w:tcPr>
            <w:tcW w:w="11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rPr>
            </w:pPr>
            <w:r>
              <w:rPr>
                <w:rFonts w:cs="Calibri" w:ascii="Calibri" w:hAnsi="Calibri" w:asciiTheme="minorHAnsi" w:cstheme="minorHAnsi" w:hAnsiTheme="minorHAnsi"/>
                <w:b/>
                <w:bCs/>
                <w:color w:val="000000"/>
              </w:rPr>
              <w:t>-144.422</w:t>
            </w:r>
          </w:p>
        </w:tc>
      </w:tr>
    </w:tbl>
    <w:p>
      <w:pPr>
        <w:pStyle w:val="WW-Rientronormale"/>
        <w:widowControl w:val="false"/>
        <w:ind w:left="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Rientronormale"/>
        <w:widowControl w:val="false"/>
        <w:ind w:left="0"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Alla chiusura dell’esercizio tra i valori del patrimonio netto del Consorzio risulta una riserva di utili derivante unicamente dalla gestione dei precedenti esercizi al netto della fiscalità, dal momento che i consorziati non hanno stabilito alcuna partecipazione alla costituzione del fondo di dotazione </w:t>
      </w:r>
      <w:r>
        <w:rPr>
          <w:rFonts w:cs="Calibri" w:ascii="Calibri" w:hAnsi="Calibri" w:asciiTheme="minorHAnsi" w:cstheme="minorHAnsi" w:hAnsiTheme="minorHAnsi"/>
          <w:sz w:val="22"/>
          <w:szCs w:val="22"/>
          <w:shd w:fill="FFFFFF" w:val="clear"/>
        </w:rPr>
        <w:t xml:space="preserve">consortile, mentre per l'esercizio in questione risulta </w:t>
      </w:r>
      <w:bookmarkStart w:id="9" w:name="PasFonRisOne"/>
      <w:bookmarkEnd w:id="7"/>
      <w:r>
        <w:rPr>
          <w:rFonts w:cs="Calibri" w:ascii="Calibri" w:hAnsi="Calibri" w:asciiTheme="minorHAnsi" w:cstheme="minorHAnsi" w:hAnsiTheme="minorHAnsi"/>
          <w:sz w:val="22"/>
          <w:szCs w:val="22"/>
        </w:rPr>
        <w:t>un risultato positivo d’esercizio pari a 54.965€.</w:t>
      </w:r>
    </w:p>
    <w:p>
      <w:pPr>
        <w:pStyle w:val="WW-Rientronormale"/>
        <w:widowControl w:val="false"/>
        <w:ind w:left="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widowControl w:val="false"/>
        <w:numPr>
          <w:ilvl w:val="0"/>
          <w:numId w:val="4"/>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i/>
          <w:sz w:val="22"/>
          <w:szCs w:val="22"/>
        </w:rPr>
        <w:t>FONDI PER RISCHI ED ONERI</w:t>
      </w:r>
    </w:p>
    <w:p>
      <w:pPr>
        <w:pStyle w:val="Normal"/>
        <w:widowControl w:val="false"/>
        <w:jc w:val="both"/>
        <w:rPr>
          <w:rFonts w:ascii="Calibri" w:hAnsi="Calibri" w:cs="Calibri" w:asciiTheme="minorHAnsi" w:cstheme="minorHAnsi" w:hAnsiTheme="minorHAnsi"/>
          <w:b/>
          <w:i/>
          <w:i/>
          <w:sz w:val="22"/>
          <w:szCs w:val="22"/>
        </w:rPr>
      </w:pPr>
      <w:r>
        <w:rPr>
          <w:rFonts w:cs="Calibri" w:cstheme="minorHAnsi" w:ascii="Calibri" w:hAnsi="Calibri"/>
          <w:b/>
          <w:i/>
          <w:sz w:val="22"/>
          <w:szCs w:val="22"/>
        </w:rPr>
      </w:r>
    </w:p>
    <w:tbl>
      <w:tblPr>
        <w:tblW w:w="9638" w:type="dxa"/>
        <w:jc w:val="left"/>
        <w:tblInd w:w="61" w:type="dxa"/>
        <w:tblLayout w:type="fixed"/>
        <w:tblCellMar>
          <w:top w:w="0" w:type="dxa"/>
          <w:left w:w="28" w:type="dxa"/>
          <w:bottom w:w="0" w:type="dxa"/>
          <w:right w:w="28" w:type="dxa"/>
        </w:tblCellMar>
        <w:tblLook w:firstRow="0" w:noVBand="0" w:lastRow="0" w:firstColumn="0" w:lastColumn="0" w:noHBand="0" w:val="0000"/>
      </w:tblPr>
      <w:tblGrid>
        <w:gridCol w:w="3967"/>
        <w:gridCol w:w="3541"/>
        <w:gridCol w:w="2130"/>
      </w:tblGrid>
      <w:tr>
        <w:trPr>
          <w:trHeight w:val="20" w:hRule="atLeast"/>
        </w:trPr>
        <w:tc>
          <w:tcPr>
            <w:tcW w:w="9638"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b/>
                <w:i/>
              </w:rPr>
              <w:t>FONDI PER RISCHI ED ONERI</w:t>
            </w:r>
          </w:p>
        </w:tc>
      </w:tr>
      <w:tr>
        <w:trPr>
          <w:trHeight w:val="20" w:hRule="atLeast"/>
        </w:trPr>
        <w:tc>
          <w:tcPr>
            <w:tcW w:w="3967"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b/>
                <w:i/>
              </w:rPr>
              <w:t>Saldo al 31/12/2025</w:t>
            </w:r>
          </w:p>
        </w:tc>
        <w:tc>
          <w:tcPr>
            <w:tcW w:w="3541"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b/>
                <w:i/>
              </w:rPr>
              <w:t>Saldo al 31/12/2024</w:t>
            </w:r>
          </w:p>
        </w:tc>
        <w:tc>
          <w:tcPr>
            <w:tcW w:w="2130"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jc w:val="center"/>
              <w:rPr>
                <w:rFonts w:ascii="Calibri" w:hAnsi="Calibri" w:cs="Calibri" w:asciiTheme="minorHAnsi" w:cstheme="minorHAnsi" w:hAnsiTheme="minorHAnsi"/>
              </w:rPr>
            </w:pPr>
            <w:r>
              <w:rPr>
                <w:rFonts w:cs="Calibri" w:ascii="Calibri" w:hAnsi="Calibri" w:asciiTheme="minorHAnsi" w:cstheme="minorHAnsi" w:hAnsiTheme="minorHAnsi"/>
                <w:b/>
                <w:i/>
              </w:rPr>
              <w:t>Variazioni</w:t>
            </w:r>
          </w:p>
        </w:tc>
      </w:tr>
      <w:tr>
        <w:trPr>
          <w:trHeight w:val="20" w:hRule="atLeast"/>
        </w:trPr>
        <w:tc>
          <w:tcPr>
            <w:tcW w:w="39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rPr>
            </w:pPr>
            <w:r>
              <w:rPr>
                <w:rFonts w:cs="Calibri" w:ascii="Calibri" w:hAnsi="Calibri" w:asciiTheme="minorHAnsi" w:cstheme="minorHAnsi" w:hAnsiTheme="minorHAnsi"/>
              </w:rPr>
              <w:t>9.430</w:t>
            </w:r>
          </w:p>
        </w:tc>
        <w:tc>
          <w:tcPr>
            <w:tcW w:w="35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rPr>
            </w:pPr>
            <w:r>
              <w:rPr>
                <w:rFonts w:cs="Calibri" w:ascii="Calibri" w:hAnsi="Calibri" w:asciiTheme="minorHAnsi" w:cstheme="minorHAnsi" w:hAnsiTheme="minorHAnsi"/>
              </w:rPr>
              <w:t>0</w:t>
            </w:r>
          </w:p>
        </w:tc>
        <w:tc>
          <w:tcPr>
            <w:tcW w:w="21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rPr>
            </w:pPr>
            <w:r>
              <w:rPr>
                <w:rFonts w:cs="Calibri" w:ascii="Calibri" w:hAnsi="Calibri" w:asciiTheme="minorHAnsi" w:cstheme="minorHAnsi" w:hAnsiTheme="minorHAnsi"/>
              </w:rPr>
              <w:t>9.430</w:t>
            </w:r>
          </w:p>
        </w:tc>
      </w:tr>
    </w:tbl>
    <w:p>
      <w:pPr>
        <w:pStyle w:val="WW-Rientronormale"/>
        <w:widowControl w:val="false"/>
        <w:tabs>
          <w:tab w:val="clear" w:pos="720"/>
          <w:tab w:val="left" w:pos="928" w:leader="none"/>
        </w:tabs>
        <w:ind w:left="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Rientronormale"/>
        <w:widowControl w:val="false"/>
        <w:suppressAutoHyphens w:val="false"/>
        <w:ind w:left="0" w:hanging="0"/>
        <w:jc w:val="both"/>
        <w:rPr>
          <w:rFonts w:ascii="Calibri" w:hAnsi="Calibri" w:cs="Calibri" w:asciiTheme="minorHAnsi" w:cstheme="minorHAnsi" w:hAnsiTheme="minorHAnsi"/>
          <w:sz w:val="22"/>
          <w:szCs w:val="22"/>
        </w:rPr>
      </w:pPr>
      <w:bookmarkStart w:id="10" w:name="PasTFR"/>
      <w:bookmarkEnd w:id="9"/>
      <w:bookmarkEnd w:id="10"/>
      <w:r>
        <w:rPr>
          <w:rFonts w:cs="Calibri" w:ascii="Calibri" w:hAnsi="Calibri" w:asciiTheme="minorHAnsi" w:cstheme="minorHAnsi" w:hAnsiTheme="minorHAnsi"/>
          <w:sz w:val="22"/>
          <w:szCs w:val="22"/>
        </w:rPr>
        <w:t>I fondi sono rappresentati dalle somme accantonate per i rinnovi contrattuali del personale dipendente, come comunicate in sede di chiusura di bilancio da parte di SdS.</w:t>
      </w:r>
    </w:p>
    <w:p>
      <w:pPr>
        <w:pStyle w:val="WW-Rientronormale"/>
        <w:widowControl w:val="false"/>
        <w:suppressAutoHyphens w:val="false"/>
        <w:ind w:left="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Pidipagina"/>
        <w:widowControl w:val="false"/>
        <w:numPr>
          <w:ilvl w:val="0"/>
          <w:numId w:val="4"/>
        </w:numPr>
        <w:tabs>
          <w:tab w:val="clear" w:pos="4819"/>
          <w:tab w:val="clear" w:pos="9638"/>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i/>
          <w:sz w:val="22"/>
          <w:szCs w:val="22"/>
        </w:rPr>
        <w:t xml:space="preserve">TRATTAMENTO DI FINE RAPPORTO DI LAVORO SUBORDINATO </w:t>
      </w:r>
    </w:p>
    <w:p>
      <w:pPr>
        <w:pStyle w:val="Pidipagina"/>
        <w:widowControl w:val="false"/>
        <w:tabs>
          <w:tab w:val="clear" w:pos="4819"/>
          <w:tab w:val="clear" w:pos="9638"/>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Il Consorzio non risulta avere dipendenti e/o paradipendenti in organico al termine dell’esercizio per i quali compete l’accantonamento diretto al fondo TFR </w:t>
      </w:r>
      <w:r>
        <w:rPr>
          <w:rFonts w:cs="Calibri" w:ascii="Calibri" w:hAnsi="Calibri" w:asciiTheme="minorHAnsi" w:cstheme="minorHAnsi" w:hAnsiTheme="minorHAnsi"/>
          <w:sz w:val="22"/>
          <w:szCs w:val="22"/>
          <w:shd w:fill="FFFFFF" w:val="clear"/>
        </w:rPr>
        <w:t>dal momento che l’attuale personale è inserito nella gestione INPDAP con versamento periodico all’istituto delle quote al fondo TFM.</w:t>
      </w:r>
    </w:p>
    <w:p>
      <w:pPr>
        <w:pStyle w:val="Pidipagina"/>
        <w:widowControl w:val="false"/>
        <w:tabs>
          <w:tab w:val="clear" w:pos="4819"/>
          <w:tab w:val="clear" w:pos="9638"/>
        </w:tabs>
        <w:jc w:val="both"/>
        <w:rPr>
          <w:rFonts w:ascii="Calibri" w:hAnsi="Calibri" w:cs="Calibri" w:asciiTheme="minorHAnsi" w:cstheme="minorHAnsi" w:hAnsiTheme="minorHAnsi"/>
          <w:sz w:val="22"/>
          <w:szCs w:val="22"/>
          <w:shd w:fill="FFFFFF" w:val="clear"/>
        </w:rPr>
      </w:pPr>
      <w:r>
        <w:rPr>
          <w:rFonts w:cs="Calibri" w:cstheme="minorHAnsi" w:ascii="Calibri" w:hAnsi="Calibri"/>
          <w:sz w:val="22"/>
          <w:szCs w:val="22"/>
          <w:shd w:fill="FFFFFF" w:val="clear"/>
        </w:rPr>
      </w:r>
    </w:p>
    <w:p>
      <w:pPr>
        <w:pStyle w:val="Pidipagina"/>
        <w:widowControl w:val="false"/>
        <w:numPr>
          <w:ilvl w:val="0"/>
          <w:numId w:val="4"/>
        </w:numPr>
        <w:tabs>
          <w:tab w:val="clear" w:pos="4819"/>
          <w:tab w:val="clear" w:pos="9638"/>
        </w:tabs>
        <w:rPr>
          <w:rFonts w:ascii="Calibri" w:hAnsi="Calibri" w:cs="Calibri" w:asciiTheme="minorHAnsi" w:cstheme="minorHAnsi" w:hAnsiTheme="minorHAnsi"/>
          <w:sz w:val="22"/>
          <w:szCs w:val="22"/>
        </w:rPr>
      </w:pPr>
      <w:bookmarkStart w:id="11" w:name="PasDeb"/>
      <w:bookmarkStart w:id="12" w:name="Copia_di_PasTFR_1"/>
      <w:bookmarkEnd w:id="11"/>
      <w:bookmarkEnd w:id="12"/>
      <w:r>
        <w:rPr>
          <w:rFonts w:cs="Calibri" w:ascii="Calibri" w:hAnsi="Calibri" w:asciiTheme="minorHAnsi" w:cstheme="minorHAnsi" w:hAnsiTheme="minorHAnsi"/>
          <w:b/>
          <w:i/>
          <w:sz w:val="22"/>
          <w:szCs w:val="22"/>
        </w:rPr>
        <w:t>DEBITI</w:t>
      </w:r>
    </w:p>
    <w:p>
      <w:pPr>
        <w:pStyle w:val="Pidipagina"/>
        <w:widowControl w:val="false"/>
        <w:tabs>
          <w:tab w:val="clear" w:pos="4819"/>
          <w:tab w:val="clear" w:pos="9638"/>
        </w:tabs>
        <w:rPr>
          <w:rFonts w:ascii="Calibri" w:hAnsi="Calibri" w:cs="Calibri" w:asciiTheme="minorHAnsi" w:cstheme="minorHAnsi" w:hAnsiTheme="minorHAnsi"/>
          <w:sz w:val="22"/>
          <w:szCs w:val="22"/>
        </w:rPr>
      </w:pPr>
      <w:r>
        <w:rPr>
          <w:rFonts w:cs="Calibri" w:cstheme="minorHAnsi" w:ascii="Calibri" w:hAnsi="Calibri"/>
          <w:sz w:val="22"/>
          <w:szCs w:val="22"/>
        </w:rPr>
      </w:r>
    </w:p>
    <w:tbl>
      <w:tblPr>
        <w:tblW w:w="5000" w:type="pct"/>
        <w:jc w:val="left"/>
        <w:tblInd w:w="0" w:type="dxa"/>
        <w:tblLayout w:type="fixed"/>
        <w:tblCellMar>
          <w:top w:w="0" w:type="dxa"/>
          <w:left w:w="70" w:type="dxa"/>
          <w:bottom w:w="0" w:type="dxa"/>
          <w:right w:w="70" w:type="dxa"/>
        </w:tblCellMar>
        <w:tblLook w:firstRow="1" w:noVBand="1" w:lastRow="0" w:firstColumn="1" w:lastColumn="0" w:noHBand="0" w:val="04a0"/>
      </w:tblPr>
      <w:tblGrid>
        <w:gridCol w:w="3544"/>
        <w:gridCol w:w="2778"/>
        <w:gridCol w:w="3316"/>
      </w:tblGrid>
      <w:tr>
        <w:trPr>
          <w:trHeight w:val="20" w:hRule="atLeast"/>
        </w:trPr>
        <w:tc>
          <w:tcPr>
            <w:tcW w:w="9638" w:type="dxa"/>
            <w:gridSpan w:val="3"/>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DEBITI</w:t>
            </w:r>
          </w:p>
        </w:tc>
      </w:tr>
      <w:tr>
        <w:trPr>
          <w:trHeight w:val="20" w:hRule="atLeast"/>
        </w:trPr>
        <w:tc>
          <w:tcPr>
            <w:tcW w:w="3544"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Saldo al 31/12/2025</w:t>
            </w:r>
          </w:p>
        </w:tc>
        <w:tc>
          <w:tcPr>
            <w:tcW w:w="2778"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Saldo al 31/12/2024</w:t>
            </w:r>
          </w:p>
        </w:tc>
        <w:tc>
          <w:tcPr>
            <w:tcW w:w="3316"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Variazioni</w:t>
            </w:r>
          </w:p>
        </w:tc>
      </w:tr>
      <w:tr>
        <w:trPr>
          <w:trHeight w:val="20" w:hRule="atLeast"/>
        </w:trPr>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right"/>
              <w:rPr>
                <w:rFonts w:ascii="Calibri" w:hAnsi="Calibri" w:cs="Calibri" w:asciiTheme="minorHAnsi" w:cstheme="minorHAnsi" w:hAnsiTheme="minorHAnsi"/>
                <w:color w:val="000000"/>
              </w:rPr>
            </w:pPr>
            <w:r>
              <w:rPr>
                <w:rFonts w:cs="Calibri" w:ascii="Calibri" w:hAnsi="Calibri" w:asciiTheme="minorHAnsi" w:cstheme="minorHAnsi" w:hAnsiTheme="minorHAnsi"/>
                <w:color w:val="000000"/>
              </w:rPr>
              <w:t>6.678.601</w:t>
            </w:r>
          </w:p>
        </w:tc>
        <w:tc>
          <w:tcPr>
            <w:tcW w:w="27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rPr>
              <w:t>4.738.864</w:t>
            </w:r>
          </w:p>
        </w:tc>
        <w:tc>
          <w:tcPr>
            <w:tcW w:w="331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right"/>
              <w:rPr>
                <w:rFonts w:ascii="Calibri" w:hAnsi="Calibri" w:cs="Calibri" w:asciiTheme="minorHAnsi" w:cstheme="minorHAnsi" w:hAnsiTheme="minorHAnsi"/>
                <w:color w:val="000000"/>
              </w:rPr>
            </w:pPr>
            <w:r>
              <w:rPr>
                <w:rFonts w:cs="Calibri" w:ascii="Calibri" w:hAnsi="Calibri" w:asciiTheme="minorHAnsi" w:cstheme="minorHAnsi" w:hAnsiTheme="minorHAnsi"/>
                <w:color w:val="000000"/>
              </w:rPr>
              <w:t>1.939.737</w:t>
            </w:r>
          </w:p>
        </w:tc>
      </w:tr>
    </w:tbl>
    <w:p>
      <w:pPr>
        <w:pStyle w:val="Pidipagina"/>
        <w:widowControl w:val="false"/>
        <w:tabs>
          <w:tab w:val="clear" w:pos="4819"/>
          <w:tab w:val="clear" w:pos="9638"/>
        </w:tabs>
        <w:rPr>
          <w:rFonts w:ascii="Calibri" w:hAnsi="Calibri" w:cs="Calibri" w:asciiTheme="minorHAnsi" w:cstheme="minorHAnsi" w:hAnsiTheme="minorHAnsi"/>
          <w:sz w:val="22"/>
          <w:szCs w:val="22"/>
        </w:rPr>
      </w:pPr>
      <w:r>
        <w:rPr>
          <w:rFonts w:cs="Calibri" w:cstheme="minorHAnsi" w:ascii="Calibri" w:hAnsi="Calibri"/>
          <w:sz w:val="22"/>
          <w:szCs w:val="22"/>
        </w:rPr>
      </w:r>
    </w:p>
    <w:p>
      <w:pPr>
        <w:pStyle w:val="Pidipagina"/>
        <w:widowControl w:val="false"/>
        <w:tabs>
          <w:tab w:val="clear" w:pos="4819"/>
          <w:tab w:val="clear" w:pos="9638"/>
        </w:tabs>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Di seguito la tabella che illustra le movimentazioni dei debiti nel corso dell’anno 2025.</w:t>
      </w:r>
    </w:p>
    <w:p>
      <w:pPr>
        <w:pStyle w:val="Normal"/>
        <w:widowControl w:val="false"/>
        <w:rPr>
          <w:rFonts w:ascii="Calibri" w:hAnsi="Calibri" w:cs="Calibri" w:asciiTheme="minorHAnsi" w:cstheme="minorHAnsi" w:hAnsiTheme="minorHAnsi"/>
          <w:lang w:eastAsia="it-IT"/>
        </w:rPr>
      </w:pPr>
      <w:r>
        <w:fldChar w:fldCharType="begin"/>
      </w:r>
      <w:r>
        <w:rPr>
          <w:rFonts w:ascii="Calibri" w:hAnsi="Calibri"/>
        </w:rPr>
        <w:instrText xml:space="preserve">LINK Excel.Sheet.12 "F:\\DA COPIARE\\SDS VALDICHIANA\\TABELLE NOTA INTEGRATIVA2025_08.06.26.xlsx" "passivo !R37C1:R49C5" \a \f 4 \h  \* MERGEFORMAT</w:instrText>
      </w:r>
      <w:r>
        <w:rPr>
          <w:rFonts w:ascii="Calibri" w:hAnsi="Calibri"/>
        </w:rPr>
      </w:r>
      <w:r>
        <w:rPr>
          <w:rFonts w:ascii="Calibri" w:hAnsi="Calibri"/>
        </w:rPr>
        <w:fldChar w:fldCharType="separate"/>
      </w:r>
      <w:r/>
      <w:r>
        <w:rPr>
          <w:rFonts w:ascii="Calibri" w:hAnsi="Calibri"/>
        </w:rPr>
      </w:r>
    </w:p>
    <w:tbl>
      <w:tblPr>
        <w:tblW w:w="9564" w:type="dxa"/>
        <w:jc w:val="left"/>
        <w:tblInd w:w="145" w:type="dxa"/>
        <w:tblLayout w:type="fixed"/>
        <w:tblCellMar>
          <w:top w:w="0" w:type="dxa"/>
          <w:left w:w="70" w:type="dxa"/>
          <w:bottom w:w="0" w:type="dxa"/>
          <w:right w:w="70" w:type="dxa"/>
        </w:tblCellMar>
        <w:tblLook w:firstRow="1" w:noVBand="1" w:lastRow="0" w:firstColumn="1" w:lastColumn="0" w:noHBand="0" w:val="04a0"/>
      </w:tblPr>
      <w:tblGrid>
        <w:gridCol w:w="3185"/>
        <w:gridCol w:w="1418"/>
        <w:gridCol w:w="1700"/>
        <w:gridCol w:w="1418"/>
        <w:gridCol w:w="1843"/>
      </w:tblGrid>
      <w:tr>
        <w:trPr>
          <w:tblHeader w:val="true"/>
          <w:trHeight w:val="300" w:hRule="atLeast"/>
        </w:trPr>
        <w:tc>
          <w:tcPr>
            <w:tcW w:w="9564" w:type="dxa"/>
            <w:gridSpan w:val="5"/>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VARIAZIONE DEI DEBITI</w:t>
            </w:r>
          </w:p>
        </w:tc>
      </w:tr>
      <w:tr>
        <w:trPr>
          <w:tblHeader w:val="true"/>
          <w:trHeight w:val="300" w:hRule="atLeast"/>
        </w:trPr>
        <w:tc>
          <w:tcPr>
            <w:tcW w:w="3185"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Descrizione</w:t>
            </w:r>
          </w:p>
        </w:tc>
        <w:tc>
          <w:tcPr>
            <w:tcW w:w="1418"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31/12/2024</w:t>
            </w:r>
          </w:p>
        </w:tc>
        <w:tc>
          <w:tcPr>
            <w:tcW w:w="1700"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Incrementi</w:t>
            </w:r>
          </w:p>
        </w:tc>
        <w:tc>
          <w:tcPr>
            <w:tcW w:w="1418"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Decrementi</w:t>
            </w:r>
          </w:p>
        </w:tc>
        <w:tc>
          <w:tcPr>
            <w:tcW w:w="1843"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31/12/2025</w:t>
            </w:r>
          </w:p>
        </w:tc>
      </w:tr>
      <w:tr>
        <w:trPr>
          <w:trHeight w:val="300" w:hRule="atLeast"/>
        </w:trPr>
        <w:tc>
          <w:tcPr>
            <w:tcW w:w="3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Mutui</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300" w:hRule="atLeast"/>
        </w:trPr>
        <w:tc>
          <w:tcPr>
            <w:tcW w:w="3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Regione</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300" w:hRule="atLeast"/>
        </w:trPr>
        <w:tc>
          <w:tcPr>
            <w:tcW w:w="3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Comuni</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50.886</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1.521.472</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157.360</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1.414.998</w:t>
            </w:r>
          </w:p>
        </w:tc>
      </w:tr>
      <w:tr>
        <w:trPr>
          <w:trHeight w:val="300" w:hRule="atLeast"/>
        </w:trPr>
        <w:tc>
          <w:tcPr>
            <w:tcW w:w="3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Aziende sanitarie pubbliche</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4.105.206</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5.090.526</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4.619.074</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4.576.658</w:t>
            </w:r>
          </w:p>
        </w:tc>
      </w:tr>
      <w:tr>
        <w:trPr>
          <w:trHeight w:val="300" w:hRule="atLeast"/>
        </w:trPr>
        <w:tc>
          <w:tcPr>
            <w:tcW w:w="3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ARPAT</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300" w:hRule="atLeast"/>
        </w:trPr>
        <w:tc>
          <w:tcPr>
            <w:tcW w:w="3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fornitori</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259.838</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2.095.278</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2.005.424</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349.692</w:t>
            </w:r>
          </w:p>
        </w:tc>
      </w:tr>
      <w:tr>
        <w:trPr>
          <w:trHeight w:val="300" w:hRule="atLeast"/>
        </w:trPr>
        <w:tc>
          <w:tcPr>
            <w:tcW w:w="3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Istituto Cassiere</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70</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83</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140</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13</w:t>
            </w:r>
          </w:p>
        </w:tc>
      </w:tr>
      <w:tr>
        <w:trPr>
          <w:trHeight w:val="300" w:hRule="atLeast"/>
        </w:trPr>
        <w:tc>
          <w:tcPr>
            <w:tcW w:w="3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Debiti Tributari</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40.163</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315.794</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297.700</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58.257</w:t>
            </w:r>
          </w:p>
        </w:tc>
      </w:tr>
      <w:tr>
        <w:trPr>
          <w:trHeight w:val="300" w:hRule="atLeast"/>
        </w:trPr>
        <w:tc>
          <w:tcPr>
            <w:tcW w:w="3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Istituti previdenziali</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69.915</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460.689</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433.968</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96.636</w:t>
            </w:r>
          </w:p>
        </w:tc>
      </w:tr>
      <w:tr>
        <w:trPr>
          <w:trHeight w:val="300" w:hRule="atLeast"/>
        </w:trPr>
        <w:tc>
          <w:tcPr>
            <w:tcW w:w="3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Altri debiti</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212.785</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2.170.308</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2.200.746</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182.347</w:t>
            </w:r>
          </w:p>
        </w:tc>
      </w:tr>
      <w:tr>
        <w:trPr>
          <w:trHeight w:val="300" w:hRule="atLeast"/>
        </w:trPr>
        <w:tc>
          <w:tcPr>
            <w:tcW w:w="3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b/>
                <w:bCs/>
                <w:color w:val="000000"/>
                <w:lang w:eastAsia="it-IT"/>
              </w:rPr>
              <w:t>Totale</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4.738.864</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11.654.149</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9.714.412</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6.678.601</w:t>
            </w:r>
          </w:p>
        </w:tc>
      </w:tr>
    </w:tbl>
    <w:p>
      <w:pPr>
        <w:pStyle w:val="Normal"/>
        <w:widowControl w:val="false"/>
        <w:rPr>
          <w:rFonts w:ascii="Calibri" w:hAnsi="Calibri" w:cs="Calibri" w:asciiTheme="minorHAnsi" w:cstheme="minorHAnsi" w:hAnsiTheme="minorHAnsi"/>
          <w:sz w:val="22"/>
          <w:szCs w:val="22"/>
        </w:rPr>
      </w:pPr>
      <w:r/>
      <w:r>
        <w:rPr>
          <w:rFonts w:ascii="Calibri" w:hAnsi="Calibri"/>
        </w:rPr>
        <w:fldChar w:fldCharType="end"/>
      </w:r>
      <w:r>
        <w:rPr>
          <w:rFonts w:ascii="Calibri" w:hAnsi="Calibri"/>
        </w:rPr>
      </w:r>
    </w:p>
    <w:p>
      <w:pPr>
        <w:pStyle w:val="Normal"/>
        <w:widowControl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 debiti sono valutati al loro valore nominale e la scadenza degli stessi è così suddivisa:</w:t>
      </w:r>
    </w:p>
    <w:p>
      <w:pPr>
        <w:pStyle w:val="Pidipagina"/>
        <w:widowControl w:val="false"/>
        <w:tabs>
          <w:tab w:val="clear" w:pos="4819"/>
          <w:tab w:val="clear" w:pos="9638"/>
        </w:tabs>
        <w:jc w:val="both"/>
        <w:rPr>
          <w:rFonts w:ascii="Calibri" w:hAnsi="Calibri" w:cs="Calibri" w:asciiTheme="minorHAnsi" w:cstheme="minorHAnsi" w:hAnsiTheme="minorHAnsi"/>
          <w:lang w:eastAsia="it-IT"/>
        </w:rPr>
      </w:pPr>
      <w:r>
        <w:fldChar w:fldCharType="begin"/>
      </w:r>
      <w:r>
        <w:rPr>
          <w:rFonts w:ascii="Calibri" w:hAnsi="Calibri"/>
        </w:rPr>
        <w:instrText xml:space="preserve">LINK Excel.Sheet.12 "F:\\DA COPIARE\\SDS VALDICHIANA\\TABELLE NOTA INTEGRATIVA2025_08.06.26.xlsx" "passivo !R52C1:R64C5" \a \f 4 \h  \* MERGEFORMAT</w:instrText>
      </w:r>
      <w:r>
        <w:rPr>
          <w:rFonts w:ascii="Calibri" w:hAnsi="Calibri"/>
        </w:rPr>
      </w:r>
      <w:r>
        <w:rPr>
          <w:rFonts w:ascii="Calibri" w:hAnsi="Calibri"/>
        </w:rPr>
        <w:fldChar w:fldCharType="separate"/>
      </w:r>
      <w:r/>
      <w:r>
        <w:rPr>
          <w:rFonts w:ascii="Calibri" w:hAnsi="Calibri"/>
        </w:rPr>
      </w:r>
    </w:p>
    <w:tbl>
      <w:tblPr>
        <w:tblW w:w="9634" w:type="dxa"/>
        <w:jc w:val="left"/>
        <w:tblInd w:w="75" w:type="dxa"/>
        <w:tblLayout w:type="fixed"/>
        <w:tblCellMar>
          <w:top w:w="0" w:type="dxa"/>
          <w:left w:w="70" w:type="dxa"/>
          <w:bottom w:w="0" w:type="dxa"/>
          <w:right w:w="70" w:type="dxa"/>
        </w:tblCellMar>
        <w:tblLook w:firstRow="1" w:noVBand="1" w:lastRow="0" w:firstColumn="1" w:lastColumn="0" w:noHBand="0" w:val="04a0"/>
      </w:tblPr>
      <w:tblGrid>
        <w:gridCol w:w="3538"/>
        <w:gridCol w:w="1701"/>
        <w:gridCol w:w="1277"/>
        <w:gridCol w:w="1416"/>
        <w:gridCol w:w="1702"/>
      </w:tblGrid>
      <w:tr>
        <w:trPr>
          <w:tblHeader w:val="true"/>
          <w:trHeight w:val="300" w:hRule="atLeast"/>
        </w:trPr>
        <w:tc>
          <w:tcPr>
            <w:tcW w:w="9634" w:type="dxa"/>
            <w:gridSpan w:val="5"/>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DEBITI PER SCADENZA</w:t>
            </w:r>
          </w:p>
        </w:tc>
      </w:tr>
      <w:tr>
        <w:trPr>
          <w:tblHeader w:val="true"/>
          <w:trHeight w:val="300" w:hRule="atLeast"/>
        </w:trPr>
        <w:tc>
          <w:tcPr>
            <w:tcW w:w="3538"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Descrizione</w:t>
            </w:r>
          </w:p>
        </w:tc>
        <w:tc>
          <w:tcPr>
            <w:tcW w:w="1701"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Entro 12 mesi</w:t>
            </w:r>
          </w:p>
        </w:tc>
        <w:tc>
          <w:tcPr>
            <w:tcW w:w="1277"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Oltre 12 mesi</w:t>
            </w:r>
          </w:p>
        </w:tc>
        <w:tc>
          <w:tcPr>
            <w:tcW w:w="1416"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Oltre 5 anni</w:t>
            </w:r>
          </w:p>
        </w:tc>
        <w:tc>
          <w:tcPr>
            <w:tcW w:w="1702"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Totale</w:t>
            </w:r>
          </w:p>
        </w:tc>
      </w:tr>
      <w:tr>
        <w:trPr>
          <w:trHeight w:val="300" w:hRule="atLeast"/>
        </w:trPr>
        <w:tc>
          <w:tcPr>
            <w:tcW w:w="3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Mutui</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4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300" w:hRule="atLeast"/>
        </w:trPr>
        <w:tc>
          <w:tcPr>
            <w:tcW w:w="3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Regione</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4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300" w:hRule="atLeast"/>
        </w:trPr>
        <w:tc>
          <w:tcPr>
            <w:tcW w:w="3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Comuni</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1.414.998</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4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1.414.998</w:t>
            </w:r>
          </w:p>
        </w:tc>
      </w:tr>
      <w:tr>
        <w:trPr>
          <w:trHeight w:val="300" w:hRule="atLeast"/>
        </w:trPr>
        <w:tc>
          <w:tcPr>
            <w:tcW w:w="3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Aziende sanitarie pubbliche</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4.576.658</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4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4.576.658</w:t>
            </w:r>
          </w:p>
        </w:tc>
      </w:tr>
      <w:tr>
        <w:trPr>
          <w:trHeight w:val="300" w:hRule="atLeast"/>
        </w:trPr>
        <w:tc>
          <w:tcPr>
            <w:tcW w:w="3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ARPAT</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4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300" w:hRule="atLeast"/>
        </w:trPr>
        <w:tc>
          <w:tcPr>
            <w:tcW w:w="3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fornitori</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349.692</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4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349.692</w:t>
            </w:r>
          </w:p>
        </w:tc>
      </w:tr>
      <w:tr>
        <w:trPr>
          <w:trHeight w:val="300" w:hRule="atLeast"/>
        </w:trPr>
        <w:tc>
          <w:tcPr>
            <w:tcW w:w="3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Istituto Cassiere</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13</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4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13</w:t>
            </w:r>
          </w:p>
        </w:tc>
      </w:tr>
      <w:tr>
        <w:trPr>
          <w:trHeight w:val="300" w:hRule="atLeast"/>
        </w:trPr>
        <w:tc>
          <w:tcPr>
            <w:tcW w:w="3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Debiti Tributari</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58.257</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4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58.257</w:t>
            </w:r>
          </w:p>
        </w:tc>
      </w:tr>
      <w:tr>
        <w:trPr>
          <w:trHeight w:val="300" w:hRule="atLeast"/>
        </w:trPr>
        <w:tc>
          <w:tcPr>
            <w:tcW w:w="3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Verso Istituti previdenziali</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96.636</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4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96.636</w:t>
            </w:r>
          </w:p>
        </w:tc>
      </w:tr>
      <w:tr>
        <w:trPr>
          <w:trHeight w:val="300" w:hRule="atLeast"/>
        </w:trPr>
        <w:tc>
          <w:tcPr>
            <w:tcW w:w="3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Altri debiti</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182.347</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4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182.347</w:t>
            </w:r>
          </w:p>
        </w:tc>
      </w:tr>
      <w:tr>
        <w:trPr>
          <w:trHeight w:val="300" w:hRule="atLeast"/>
        </w:trPr>
        <w:tc>
          <w:tcPr>
            <w:tcW w:w="3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b/>
                <w:bCs/>
                <w:color w:val="000000"/>
                <w:lang w:eastAsia="it-IT"/>
              </w:rPr>
              <w:t>Totale</w:t>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6.678.601</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w:t>
            </w:r>
          </w:p>
        </w:tc>
        <w:tc>
          <w:tcPr>
            <w:tcW w:w="14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w:t>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6.678.601</w:t>
            </w:r>
          </w:p>
        </w:tc>
      </w:tr>
    </w:tbl>
    <w:p>
      <w:pPr>
        <w:pStyle w:val="Pidipagina"/>
        <w:widowControl w:val="false"/>
        <w:tabs>
          <w:tab w:val="clear" w:pos="4819"/>
          <w:tab w:val="clear" w:pos="9638"/>
        </w:tabs>
        <w:jc w:val="both"/>
        <w:rPr>
          <w:rFonts w:ascii="Calibri" w:hAnsi="Calibri" w:cs="Calibri" w:asciiTheme="minorHAnsi" w:cstheme="minorHAnsi" w:hAnsiTheme="minorHAnsi"/>
          <w:bCs/>
          <w:sz w:val="22"/>
          <w:szCs w:val="22"/>
        </w:rPr>
      </w:pPr>
      <w:r/>
      <w:r>
        <w:rPr>
          <w:rFonts w:ascii="Calibri" w:hAnsi="Calibri"/>
        </w:rPr>
        <w:fldChar w:fldCharType="end"/>
      </w:r>
      <w:r>
        <w:rPr>
          <w:rFonts w:ascii="Calibri" w:hAnsi="Calibri"/>
        </w:rPr>
      </w:r>
    </w:p>
    <w:p>
      <w:pPr>
        <w:pStyle w:val="Pidipagina"/>
        <w:widowControl w:val="false"/>
        <w:tabs>
          <w:tab w:val="clear" w:pos="4819"/>
          <w:tab w:val="clear" w:pos="9638"/>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Cs/>
          <w:sz w:val="22"/>
          <w:szCs w:val="22"/>
        </w:rPr>
        <w:t>La SDS non ha contratto mutui.</w:t>
      </w:r>
    </w:p>
    <w:p>
      <w:pPr>
        <w:pStyle w:val="Pidipagina"/>
        <w:widowControl w:val="false"/>
        <w:tabs>
          <w:tab w:val="clear" w:pos="4819"/>
          <w:tab w:val="clear" w:pos="9638"/>
          <w:tab w:val="left" w:pos="1934" w:leader="none"/>
        </w:tabs>
        <w:jc w:val="both"/>
        <w:rPr>
          <w:rFonts w:ascii="Calibri" w:hAnsi="Calibri" w:cs="Calibri" w:asciiTheme="minorHAnsi" w:cstheme="minorHAnsi" w:hAnsiTheme="minorHAnsi"/>
          <w:bCs/>
          <w:sz w:val="22"/>
          <w:szCs w:val="22"/>
        </w:rPr>
      </w:pPr>
      <w:r>
        <w:rPr>
          <w:rFonts w:cs="Calibri" w:ascii="Calibri" w:hAnsi="Calibri" w:asciiTheme="minorHAnsi" w:cstheme="minorHAnsi" w:hAnsiTheme="minorHAnsi"/>
          <w:bCs/>
          <w:sz w:val="22"/>
          <w:szCs w:val="22"/>
        </w:rPr>
        <w:tab/>
      </w:r>
    </w:p>
    <w:p>
      <w:pPr>
        <w:pStyle w:val="Normal"/>
        <w:widowControl w:val="false"/>
        <w:jc w:val="both"/>
        <w:rPr>
          <w:rFonts w:ascii="Calibri" w:hAnsi="Calibri" w:cs="Calibri" w:asciiTheme="minorHAnsi" w:cstheme="minorHAnsi" w:hAnsiTheme="minorHAnsi"/>
          <w:bCs/>
          <w:sz w:val="22"/>
          <w:szCs w:val="22"/>
        </w:rPr>
      </w:pPr>
      <w:bookmarkStart w:id="13" w:name="Nota58"/>
      <w:bookmarkEnd w:id="13"/>
      <w:r>
        <w:rPr>
          <w:rFonts w:cs="Calibri" w:ascii="Calibri" w:hAnsi="Calibri" w:asciiTheme="minorHAnsi" w:cstheme="minorHAnsi" w:hAnsiTheme="minorHAnsi"/>
          <w:bCs/>
          <w:sz w:val="22"/>
          <w:szCs w:val="22"/>
        </w:rPr>
        <w:t>I debiti verso Comuni pari ad 1.414.998€, di seguito dettagliati, si riferiscono ai rimborsi richiesti dai seguenti Comuni:</w:t>
      </w:r>
    </w:p>
    <w:p>
      <w:pPr>
        <w:pStyle w:val="ListParagraph"/>
        <w:widowControl w:val="false"/>
        <w:numPr>
          <w:ilvl w:val="0"/>
          <w:numId w:val="3"/>
        </w:numPr>
        <w:jc w:val="both"/>
        <w:rPr>
          <w:rFonts w:ascii="Calibri" w:hAnsi="Calibri" w:cs="Calibri" w:asciiTheme="minorHAnsi" w:cstheme="minorHAnsi" w:hAnsiTheme="minorHAnsi"/>
          <w:bCs/>
          <w:sz w:val="22"/>
          <w:szCs w:val="22"/>
        </w:rPr>
      </w:pPr>
      <w:r>
        <w:rPr>
          <w:rFonts w:cs="Calibri" w:ascii="Calibri" w:hAnsi="Calibri" w:asciiTheme="minorHAnsi" w:cstheme="minorHAnsi" w:hAnsiTheme="minorHAnsi"/>
          <w:bCs/>
          <w:sz w:val="22"/>
          <w:szCs w:val="22"/>
        </w:rPr>
        <w:t xml:space="preserve">Abbadia San Salvatore: per gli oneri sostenuti per il personale assegnato funzionalmente alla Società della Salute, </w:t>
      </w:r>
    </w:p>
    <w:p>
      <w:pPr>
        <w:pStyle w:val="ListParagraph"/>
        <w:widowControl w:val="false"/>
        <w:numPr>
          <w:ilvl w:val="0"/>
          <w:numId w:val="3"/>
        </w:numPr>
        <w:jc w:val="both"/>
        <w:rPr>
          <w:rFonts w:ascii="Calibri" w:hAnsi="Calibri" w:cs="Calibri" w:asciiTheme="minorHAnsi" w:cstheme="minorHAnsi" w:hAnsiTheme="minorHAnsi"/>
          <w:bCs/>
          <w:sz w:val="22"/>
          <w:szCs w:val="22"/>
        </w:rPr>
      </w:pPr>
      <w:r>
        <w:rPr>
          <w:rFonts w:cs="Calibri" w:ascii="Calibri" w:hAnsi="Calibri" w:asciiTheme="minorHAnsi" w:cstheme="minorHAnsi" w:hAnsiTheme="minorHAnsi"/>
          <w:bCs/>
          <w:sz w:val="22"/>
          <w:szCs w:val="22"/>
        </w:rPr>
        <w:t>Sarteano: per la compartecipazione delle quote sociali per ricoverati presso RSA,</w:t>
      </w:r>
    </w:p>
    <w:p>
      <w:pPr>
        <w:pStyle w:val="ListParagraph"/>
        <w:widowControl w:val="false"/>
        <w:numPr>
          <w:ilvl w:val="0"/>
          <w:numId w:val="3"/>
        </w:numPr>
        <w:jc w:val="both"/>
        <w:rPr>
          <w:rFonts w:ascii="Calibri" w:hAnsi="Calibri" w:cs="Calibri" w:asciiTheme="minorHAnsi" w:cstheme="minorHAnsi" w:hAnsiTheme="minorHAnsi"/>
          <w:bCs/>
          <w:sz w:val="22"/>
          <w:szCs w:val="22"/>
        </w:rPr>
      </w:pPr>
      <w:r>
        <w:rPr>
          <w:rFonts w:cs="Calibri" w:ascii="Calibri" w:hAnsi="Calibri" w:asciiTheme="minorHAnsi" w:cstheme="minorHAnsi" w:hAnsiTheme="minorHAnsi"/>
          <w:bCs/>
          <w:sz w:val="22"/>
          <w:szCs w:val="22"/>
        </w:rPr>
        <w:t>Montepulciano e Sinalunga: per gli accordi di collaborazione sottoscritti con la SdS per la realizzazione delle azioni progettuali previste dai progetti PNRR, rispettivamente Progetto PNRR M5C2 linea 1.3.1 “Housing First” e PROGETTO PNRR M5C2 SUB INVESTIMENTO 1.3.2 STAZIONI DI POSTA -CENTRO SERVIZI.</w:t>
      </w:r>
    </w:p>
    <w:p>
      <w:pPr>
        <w:pStyle w:val="Normal"/>
        <w:widowControl w:val="false"/>
        <w:jc w:val="both"/>
        <w:rPr>
          <w:rFonts w:ascii="Calibri" w:hAnsi="Calibri" w:cs="Calibri" w:asciiTheme="minorHAnsi" w:cstheme="minorHAnsi" w:hAnsiTheme="minorHAnsi"/>
          <w:lang w:eastAsia="it-IT"/>
        </w:rPr>
      </w:pPr>
      <w:r>
        <w:fldChar w:fldCharType="begin"/>
      </w:r>
      <w:r>
        <w:rPr>
          <w:rFonts w:ascii="Calibri" w:hAnsi="Calibri"/>
        </w:rPr>
        <w:instrText xml:space="preserve">LINK Excel.Sheet.12 "F:\\DA COPIARE\\SDS VALDICHIANA\\TABELLE NOTA INTEGRATIVA2025_08.06.26.xlsx" "passivo !R68C1:R87C4" \a \f 4 \h  \* MERGEFORMAT</w:instrText>
      </w:r>
      <w:r>
        <w:rPr>
          <w:rFonts w:ascii="Calibri" w:hAnsi="Calibri"/>
        </w:rPr>
      </w:r>
      <w:r>
        <w:rPr>
          <w:rFonts w:ascii="Calibri" w:hAnsi="Calibri"/>
        </w:rPr>
        <w:fldChar w:fldCharType="separate"/>
      </w:r>
      <w:r/>
      <w:r>
        <w:rPr>
          <w:rFonts w:ascii="Calibri" w:hAnsi="Calibri"/>
        </w:rPr>
      </w:r>
    </w:p>
    <w:tbl>
      <w:tblPr>
        <w:tblW w:w="9564" w:type="dxa"/>
        <w:jc w:val="left"/>
        <w:tblInd w:w="145" w:type="dxa"/>
        <w:tblLayout w:type="fixed"/>
        <w:tblCellMar>
          <w:top w:w="0" w:type="dxa"/>
          <w:left w:w="70" w:type="dxa"/>
          <w:bottom w:w="0" w:type="dxa"/>
          <w:right w:w="70" w:type="dxa"/>
        </w:tblCellMar>
        <w:tblLook w:firstRow="1" w:noVBand="1" w:lastRow="0" w:firstColumn="1" w:lastColumn="0" w:noHBand="0" w:val="04a0"/>
      </w:tblPr>
      <w:tblGrid>
        <w:gridCol w:w="4177"/>
        <w:gridCol w:w="2126"/>
        <w:gridCol w:w="1702"/>
        <w:gridCol w:w="1558"/>
      </w:tblGrid>
      <w:tr>
        <w:trPr>
          <w:tblHeader w:val="true"/>
          <w:trHeight w:val="170" w:hRule="atLeast"/>
        </w:trPr>
        <w:tc>
          <w:tcPr>
            <w:tcW w:w="9563" w:type="dxa"/>
            <w:gridSpan w:val="4"/>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DETTAGLIO DEBITI VERSO COMUNI</w:t>
            </w:r>
          </w:p>
        </w:tc>
      </w:tr>
      <w:tr>
        <w:trPr>
          <w:tblHeader w:val="true"/>
          <w:trHeight w:val="170" w:hRule="atLeast"/>
        </w:trPr>
        <w:tc>
          <w:tcPr>
            <w:tcW w:w="4177"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Descrizione</w:t>
            </w:r>
          </w:p>
        </w:tc>
        <w:tc>
          <w:tcPr>
            <w:tcW w:w="2126"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quota capitaria</w:t>
            </w:r>
          </w:p>
        </w:tc>
        <w:tc>
          <w:tcPr>
            <w:tcW w:w="1702"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altri servizi</w:t>
            </w:r>
          </w:p>
        </w:tc>
        <w:tc>
          <w:tcPr>
            <w:tcW w:w="1558"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Totale</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Abbadia San Salvatore</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43.165</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43.165</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Castiglione d'Orcia</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Cetona</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Chianciano Terme</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Chiusi</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Comune di Lucignano</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cstheme="minorHAnsi" w:ascii="Calibri" w:hAnsi="Calibri"/>
                <w:color w:val="000000"/>
                <w:lang w:eastAsia="it-IT"/>
              </w:rPr>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Montepulciano</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451.848</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451.848</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Piancastagnaio</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Pienza</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Radicofani</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San Casciano Bagni</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San Quirico d'Orcia</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Sarteano</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9.985</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9.985</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Sinalunga</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910.000</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910.000</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Trequanda</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Comune di Torrita di Siena</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Debiti per quote servizi sociali</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w:t>
            </w:r>
          </w:p>
        </w:tc>
      </w:tr>
      <w:tr>
        <w:trPr>
          <w:trHeight w:val="170" w:hRule="atLeast"/>
        </w:trPr>
        <w:tc>
          <w:tcPr>
            <w:tcW w:w="41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w:t>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1.414.998</w:t>
            </w:r>
          </w:p>
        </w:tc>
        <w:tc>
          <w:tcPr>
            <w:tcW w:w="15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1.414.998</w:t>
            </w:r>
          </w:p>
        </w:tc>
      </w:tr>
    </w:tbl>
    <w:p>
      <w:pPr>
        <w:pStyle w:val="Normal"/>
        <w:widowControl w:val="false"/>
        <w:jc w:val="both"/>
        <w:rPr>
          <w:rFonts w:ascii="Calibri" w:hAnsi="Calibri" w:cs="Calibri" w:asciiTheme="minorHAnsi" w:cstheme="minorHAnsi" w:hAnsiTheme="minorHAnsi"/>
          <w:bCs/>
          <w:sz w:val="22"/>
          <w:szCs w:val="22"/>
        </w:rPr>
      </w:pPr>
      <w:r/>
      <w:r>
        <w:rPr>
          <w:rFonts w:ascii="Calibri" w:hAnsi="Calibri"/>
        </w:rPr>
        <w:fldChar w:fldCharType="end"/>
      </w:r>
      <w:r>
        <w:rPr>
          <w:rFonts w:ascii="Calibri" w:hAnsi="Calibri"/>
        </w:rPr>
      </w:r>
    </w:p>
    <w:p>
      <w:pPr>
        <w:pStyle w:val="Pidipagina"/>
        <w:widowControl w:val="false"/>
        <w:tabs>
          <w:tab w:val="clear" w:pos="4819"/>
          <w:tab w:val="clear" w:pos="9638"/>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I debiti verso le Aziende Sanitarie pubbliche sono rappresentati unicamente dai debiti verso l’Azienda Sanitaria Toscana Sud Est che ammontano a </w:t>
      </w:r>
      <w:r>
        <w:rPr>
          <w:rFonts w:cs="Calibri" w:ascii="Calibri" w:hAnsi="Calibri" w:asciiTheme="minorHAnsi" w:cstheme="minorHAnsi" w:hAnsiTheme="minorHAnsi"/>
          <w:color w:val="000000"/>
          <w:sz w:val="22"/>
          <w:szCs w:val="22"/>
          <w:lang w:eastAsia="en-US"/>
        </w:rPr>
        <w:t xml:space="preserve">4.576.658 </w:t>
      </w:r>
      <w:r>
        <w:rPr>
          <w:rFonts w:cs="Calibri" w:ascii="Calibri" w:hAnsi="Calibri" w:asciiTheme="minorHAnsi" w:cstheme="minorHAnsi" w:hAnsiTheme="minorHAnsi"/>
          <w:sz w:val="22"/>
          <w:szCs w:val="22"/>
        </w:rPr>
        <w:t>€ e sono dovuti ai servizi inerenti al trasferimento del Fondo non autosufficienza, al rimborso per le quote dei servizi sociali, anche delegati, ai servizi inerenti il FRAS/FNPS, oltre che a debiti verso la ASL Toscana Sud Est per la fornitura di materiale di consumo, rimborso utenze, rimborsi di varia natura.</w:t>
      </w:r>
    </w:p>
    <w:p>
      <w:pPr>
        <w:pStyle w:val="Pidipagina"/>
        <w:widowControl w:val="false"/>
        <w:tabs>
          <w:tab w:val="clear" w:pos="4819"/>
          <w:tab w:val="clear" w:pos="9638"/>
        </w:tabs>
        <w:jc w:val="both"/>
        <w:rPr>
          <w:rFonts w:ascii="Calibri" w:hAnsi="Calibri" w:cs="Calibri" w:asciiTheme="minorHAnsi" w:cstheme="minorHAnsi" w:hAnsiTheme="minorHAnsi"/>
          <w:sz w:val="22"/>
          <w:szCs w:val="22"/>
        </w:rPr>
      </w:pPr>
      <w:r>
        <w:rPr>
          <w:rFonts w:cs="Calibri" w:cstheme="minorHAnsi" w:ascii="Calibri" w:hAnsi="Calibri"/>
          <w:sz w:val="22"/>
          <w:szCs w:val="22"/>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2710"/>
        <w:gridCol w:w="2236"/>
        <w:gridCol w:w="1623"/>
        <w:gridCol w:w="1386"/>
        <w:gridCol w:w="1683"/>
      </w:tblGrid>
      <w:tr>
        <w:trPr>
          <w:trHeight w:val="300" w:hRule="atLeast"/>
        </w:trPr>
        <w:tc>
          <w:tcPr>
            <w:tcW w:w="7955" w:type="dxa"/>
            <w:gridSpan w:val="4"/>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DETTAGLIO DEBITI VERSO AZIENDE SANITARIE</w:t>
            </w:r>
          </w:p>
        </w:tc>
        <w:tc>
          <w:tcPr>
            <w:tcW w:w="1683" w:type="dxa"/>
            <w:tcBorders>
              <w:top w:val="single" w:sz="4" w:space="0" w:color="000000"/>
              <w:left w:val="single" w:sz="4" w:space="0" w:color="000000"/>
              <w:bottom w:val="single" w:sz="4" w:space="0" w:color="000000"/>
              <w:right w:val="single" w:sz="4" w:space="0" w:color="000000"/>
            </w:tcBorders>
            <w:shd w:color="FFFFFF" w:fill="F2F2F2" w:val="clear"/>
            <w:vAlign w:val="bottom"/>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
          </w:p>
        </w:tc>
      </w:tr>
      <w:tr>
        <w:trPr>
          <w:trHeight w:val="600" w:hRule="atLeast"/>
        </w:trPr>
        <w:tc>
          <w:tcPr>
            <w:tcW w:w="2710"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descrizione</w:t>
            </w:r>
          </w:p>
        </w:tc>
        <w:tc>
          <w:tcPr>
            <w:tcW w:w="2236"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quota capitaria</w:t>
            </w:r>
          </w:p>
        </w:tc>
        <w:tc>
          <w:tcPr>
            <w:tcW w:w="1623"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altri servizi</w:t>
            </w:r>
          </w:p>
        </w:tc>
        <w:tc>
          <w:tcPr>
            <w:tcW w:w="1386"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Totale</w:t>
            </w:r>
          </w:p>
        </w:tc>
        <w:tc>
          <w:tcPr>
            <w:tcW w:w="1683" w:type="dxa"/>
            <w:tcBorders>
              <w:top w:val="single" w:sz="4" w:space="0" w:color="000000"/>
              <w:left w:val="single" w:sz="4" w:space="0" w:color="000000"/>
              <w:bottom w:val="single" w:sz="4" w:space="0" w:color="000000"/>
              <w:right w:val="single" w:sz="4" w:space="0" w:color="000000"/>
            </w:tcBorders>
            <w:shd w:color="FFFFFF" w:fill="F2F2F2" w:val="clear"/>
            <w:vAlign w:val="bottom"/>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di cui per fatture da ricevere</w:t>
            </w:r>
          </w:p>
        </w:tc>
      </w:tr>
      <w:tr>
        <w:trPr>
          <w:trHeight w:val="300" w:hRule="atLeast"/>
        </w:trPr>
        <w:tc>
          <w:tcPr>
            <w:tcW w:w="27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 xml:space="preserve"> </w:t>
            </w:r>
            <w:r>
              <w:rPr>
                <w:rFonts w:cs="Calibri" w:ascii="Calibri" w:hAnsi="Calibri" w:asciiTheme="minorHAnsi" w:cstheme="minorHAnsi" w:hAnsiTheme="minorHAnsi"/>
                <w:color w:val="000000"/>
                <w:lang w:eastAsia="it-IT"/>
              </w:rPr>
              <w:t>Azienda Asl Sud Est</w:t>
            </w:r>
          </w:p>
        </w:tc>
        <w:tc>
          <w:tcPr>
            <w:tcW w:w="22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6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4.576.658</w:t>
            </w:r>
          </w:p>
        </w:tc>
        <w:tc>
          <w:tcPr>
            <w:tcW w:w="13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4.576.658</w:t>
            </w:r>
          </w:p>
        </w:tc>
        <w:tc>
          <w:tcPr>
            <w:tcW w:w="1683" w:type="dxa"/>
            <w:tcBorders>
              <w:top w:val="single" w:sz="4" w:space="0" w:color="000000"/>
              <w:left w:val="single" w:sz="4" w:space="0" w:color="000000"/>
              <w:bottom w:val="single" w:sz="4" w:space="0" w:color="000000"/>
              <w:right w:val="single" w:sz="4" w:space="0" w:color="000000"/>
            </w:tcBorders>
            <w:shd w:color="F2F2F2" w:fill="FFFFFF" w:val="clear"/>
            <w:vAlign w:val="bottom"/>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w:t>
            </w:r>
          </w:p>
        </w:tc>
      </w:tr>
    </w:tbl>
    <w:p>
      <w:pPr>
        <w:pStyle w:val="Pidipagina"/>
        <w:widowControl w:val="false"/>
        <w:tabs>
          <w:tab w:val="clear" w:pos="4819"/>
          <w:tab w:val="clear" w:pos="9638"/>
        </w:tabs>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Pidipagina"/>
        <w:widowControl w:val="false"/>
        <w:tabs>
          <w:tab w:val="clear" w:pos="4819"/>
          <w:tab w:val="clear" w:pos="9638"/>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I debiti verso fornitori pari ad 349.692€ si riferiscono ai debiti sorti a seguito della fornitura di beni e servizi per il funzionamento della SDS e per la realizzazione delle proprie attività. </w:t>
      </w:r>
    </w:p>
    <w:p>
      <w:pPr>
        <w:pStyle w:val="Normal"/>
        <w:widowControl w:val="false"/>
        <w:jc w:val="both"/>
        <w:rPr>
          <w:rFonts w:ascii="Calibri" w:hAnsi="Calibri" w:cs="Calibri" w:asciiTheme="minorHAnsi" w:cstheme="minorHAnsi" w:hAnsiTheme="minorHAnsi"/>
          <w:lang w:eastAsia="it-IT"/>
        </w:rPr>
      </w:pPr>
      <w:r>
        <w:fldChar w:fldCharType="begin"/>
      </w:r>
      <w:r>
        <w:rPr>
          <w:rFonts w:ascii="Calibri" w:hAnsi="Calibri"/>
        </w:rPr>
        <w:instrText xml:space="preserve">LINK Excel.Sheet.12 "F:\\DA COPIARE\\SDS VALDICHIANA\\TABELLE NOTA INTEGRATIVA2025_08.06.26.xlsx" "passivo !R97C1:R99C5" \a \f 4 \h  \* MERGEFORMAT</w:instrText>
      </w:r>
      <w:r>
        <w:rPr>
          <w:rFonts w:ascii="Calibri" w:hAnsi="Calibri"/>
        </w:rPr>
      </w:r>
      <w:r>
        <w:rPr>
          <w:rFonts w:ascii="Calibri" w:hAnsi="Calibri"/>
        </w:rPr>
        <w:fldChar w:fldCharType="separate"/>
      </w:r>
      <w:r/>
      <w:r>
        <w:rPr>
          <w:rFonts w:ascii="Calibri" w:hAnsi="Calibri"/>
        </w:rPr>
      </w:r>
    </w:p>
    <w:tbl>
      <w:tblPr>
        <w:tblW w:w="9781" w:type="dxa"/>
        <w:jc w:val="left"/>
        <w:tblInd w:w="145" w:type="dxa"/>
        <w:tblLayout w:type="fixed"/>
        <w:tblCellMar>
          <w:top w:w="0" w:type="dxa"/>
          <w:left w:w="70" w:type="dxa"/>
          <w:bottom w:w="0" w:type="dxa"/>
          <w:right w:w="70" w:type="dxa"/>
        </w:tblCellMar>
        <w:tblLook w:firstRow="1" w:noVBand="1" w:lastRow="0" w:firstColumn="1" w:lastColumn="0" w:noHBand="0" w:val="04a0"/>
      </w:tblPr>
      <w:tblGrid>
        <w:gridCol w:w="2444"/>
        <w:gridCol w:w="1593"/>
        <w:gridCol w:w="1335"/>
        <w:gridCol w:w="1505"/>
        <w:gridCol w:w="2904"/>
      </w:tblGrid>
      <w:tr>
        <w:trPr>
          <w:trHeight w:val="300" w:hRule="atLeast"/>
        </w:trPr>
        <w:tc>
          <w:tcPr>
            <w:tcW w:w="9781" w:type="dxa"/>
            <w:gridSpan w:val="5"/>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sz w:val="22"/>
                <w:szCs w:val="22"/>
                <w:lang w:eastAsia="it-IT"/>
              </w:rPr>
            </w:pPr>
            <w:r>
              <w:rPr>
                <w:rFonts w:cs="Calibri" w:ascii="Calibri" w:hAnsi="Calibri" w:asciiTheme="minorHAnsi" w:cstheme="minorHAnsi" w:hAnsiTheme="minorHAnsi"/>
                <w:b/>
                <w:bCs/>
                <w:color w:val="000000"/>
                <w:sz w:val="22"/>
                <w:szCs w:val="22"/>
                <w:lang w:eastAsia="it-IT"/>
              </w:rPr>
              <w:t>DETTAGLIO DEBITI VERSO FORNITORI</w:t>
            </w:r>
          </w:p>
        </w:tc>
      </w:tr>
      <w:tr>
        <w:trPr>
          <w:trHeight w:val="300" w:hRule="atLeast"/>
        </w:trPr>
        <w:tc>
          <w:tcPr>
            <w:tcW w:w="2444"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rPr>
                <w:rFonts w:ascii="Calibri" w:hAnsi="Calibri" w:cs="Calibri" w:asciiTheme="minorHAnsi" w:cstheme="minorHAnsi" w:hAnsiTheme="minorHAnsi"/>
                <w:b/>
                <w:bCs/>
                <w:i/>
                <w:i/>
                <w:iCs/>
                <w:color w:val="000000"/>
                <w:sz w:val="22"/>
                <w:szCs w:val="22"/>
                <w:lang w:eastAsia="it-IT"/>
              </w:rPr>
            </w:pPr>
            <w:r>
              <w:rPr>
                <w:rFonts w:cs="Calibri" w:ascii="Calibri" w:hAnsi="Calibri" w:asciiTheme="minorHAnsi" w:cstheme="minorHAnsi" w:hAnsiTheme="minorHAnsi"/>
                <w:b/>
                <w:bCs/>
                <w:i/>
                <w:iCs/>
                <w:color w:val="000000"/>
                <w:sz w:val="22"/>
                <w:szCs w:val="22"/>
                <w:lang w:eastAsia="it-IT"/>
              </w:rPr>
              <w:t xml:space="preserve"> </w:t>
            </w:r>
            <w:r>
              <w:rPr>
                <w:rFonts w:cs="Calibri" w:ascii="Calibri" w:hAnsi="Calibri" w:asciiTheme="minorHAnsi" w:cstheme="minorHAnsi" w:hAnsiTheme="minorHAnsi"/>
                <w:b/>
                <w:bCs/>
                <w:i/>
                <w:iCs/>
                <w:color w:val="000000"/>
                <w:sz w:val="22"/>
                <w:szCs w:val="22"/>
                <w:lang w:eastAsia="it-IT"/>
              </w:rPr>
              <w:t>descrizione</w:t>
            </w:r>
          </w:p>
        </w:tc>
        <w:tc>
          <w:tcPr>
            <w:tcW w:w="1593"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22"/>
                <w:szCs w:val="22"/>
                <w:lang w:eastAsia="it-IT"/>
              </w:rPr>
            </w:pPr>
            <w:r>
              <w:rPr>
                <w:rFonts w:cs="Calibri" w:ascii="Calibri" w:hAnsi="Calibri" w:asciiTheme="minorHAnsi" w:cstheme="minorHAnsi" w:hAnsiTheme="minorHAnsi"/>
                <w:b/>
                <w:bCs/>
                <w:i/>
                <w:iCs/>
                <w:color w:val="000000"/>
                <w:sz w:val="22"/>
                <w:szCs w:val="22"/>
                <w:lang w:eastAsia="it-IT"/>
              </w:rPr>
              <w:t>Al 31/12/2024</w:t>
            </w:r>
          </w:p>
        </w:tc>
        <w:tc>
          <w:tcPr>
            <w:tcW w:w="1335"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22"/>
                <w:szCs w:val="22"/>
                <w:lang w:eastAsia="it-IT"/>
              </w:rPr>
            </w:pPr>
            <w:r>
              <w:rPr>
                <w:rFonts w:cs="Calibri" w:ascii="Calibri" w:hAnsi="Calibri" w:asciiTheme="minorHAnsi" w:cstheme="minorHAnsi" w:hAnsiTheme="minorHAnsi"/>
                <w:b/>
                <w:bCs/>
                <w:i/>
                <w:iCs/>
                <w:color w:val="000000"/>
                <w:sz w:val="22"/>
                <w:szCs w:val="22"/>
                <w:lang w:eastAsia="it-IT"/>
              </w:rPr>
              <w:t>Incrementi</w:t>
            </w:r>
          </w:p>
        </w:tc>
        <w:tc>
          <w:tcPr>
            <w:tcW w:w="1505"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22"/>
                <w:szCs w:val="22"/>
                <w:lang w:eastAsia="it-IT"/>
              </w:rPr>
            </w:pPr>
            <w:r>
              <w:rPr>
                <w:rFonts w:cs="Calibri" w:ascii="Calibri" w:hAnsi="Calibri" w:asciiTheme="minorHAnsi" w:cstheme="minorHAnsi" w:hAnsiTheme="minorHAnsi"/>
                <w:b/>
                <w:bCs/>
                <w:i/>
                <w:iCs/>
                <w:color w:val="000000"/>
                <w:sz w:val="22"/>
                <w:szCs w:val="22"/>
                <w:lang w:eastAsia="it-IT"/>
              </w:rPr>
              <w:t>Decrementi</w:t>
            </w:r>
          </w:p>
        </w:tc>
        <w:tc>
          <w:tcPr>
            <w:tcW w:w="2904"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sz w:val="22"/>
                <w:szCs w:val="22"/>
                <w:lang w:eastAsia="it-IT"/>
              </w:rPr>
            </w:pPr>
            <w:r>
              <w:rPr>
                <w:rFonts w:cs="Calibri" w:ascii="Calibri" w:hAnsi="Calibri" w:asciiTheme="minorHAnsi" w:cstheme="minorHAnsi" w:hAnsiTheme="minorHAnsi"/>
                <w:b/>
                <w:bCs/>
                <w:i/>
                <w:iCs/>
                <w:color w:val="000000"/>
                <w:sz w:val="22"/>
                <w:szCs w:val="22"/>
                <w:lang w:eastAsia="it-IT"/>
              </w:rPr>
              <w:t>Al 31/12/2025</w:t>
            </w:r>
          </w:p>
        </w:tc>
      </w:tr>
      <w:tr>
        <w:trPr>
          <w:trHeight w:val="300" w:hRule="atLeast"/>
        </w:trPr>
        <w:tc>
          <w:tcPr>
            <w:tcW w:w="24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sz w:val="22"/>
                <w:szCs w:val="22"/>
                <w:lang w:eastAsia="it-IT"/>
              </w:rPr>
            </w:pPr>
            <w:r>
              <w:rPr>
                <w:rFonts w:cs="Calibri" w:ascii="Calibri" w:hAnsi="Calibri" w:asciiTheme="minorHAnsi" w:cstheme="minorHAnsi" w:hAnsiTheme="minorHAnsi"/>
                <w:color w:val="000000"/>
                <w:sz w:val="22"/>
                <w:szCs w:val="22"/>
                <w:lang w:eastAsia="it-IT"/>
              </w:rPr>
              <w:t xml:space="preserve"> </w:t>
            </w:r>
            <w:r>
              <w:rPr>
                <w:rFonts w:cs="Calibri" w:ascii="Calibri" w:hAnsi="Calibri" w:asciiTheme="minorHAnsi" w:cstheme="minorHAnsi" w:hAnsiTheme="minorHAnsi"/>
                <w:color w:val="000000"/>
                <w:sz w:val="22"/>
                <w:szCs w:val="22"/>
                <w:lang w:eastAsia="it-IT"/>
              </w:rPr>
              <w:t>Debiti verso fornitori</w:t>
            </w:r>
          </w:p>
        </w:tc>
        <w:tc>
          <w:tcPr>
            <w:tcW w:w="15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sz w:val="22"/>
                <w:szCs w:val="22"/>
                <w:lang w:eastAsia="it-IT"/>
              </w:rPr>
            </w:pPr>
            <w:r>
              <w:rPr>
                <w:rFonts w:cs="Calibri" w:ascii="Calibri" w:hAnsi="Calibri" w:asciiTheme="minorHAnsi" w:cstheme="minorHAnsi" w:hAnsiTheme="minorHAnsi"/>
                <w:color w:val="000000"/>
                <w:sz w:val="22"/>
                <w:szCs w:val="22"/>
                <w:lang w:eastAsia="it-IT"/>
              </w:rPr>
              <w:t>259.838</w:t>
            </w:r>
          </w:p>
        </w:tc>
        <w:tc>
          <w:tcPr>
            <w:tcW w:w="13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sz w:val="22"/>
                <w:szCs w:val="22"/>
                <w:lang w:eastAsia="it-IT"/>
              </w:rPr>
            </w:pPr>
            <w:r>
              <w:rPr>
                <w:rFonts w:cs="Calibri" w:ascii="Calibri" w:hAnsi="Calibri" w:asciiTheme="minorHAnsi" w:cstheme="minorHAnsi" w:hAnsiTheme="minorHAnsi"/>
                <w:color w:val="000000"/>
                <w:sz w:val="22"/>
                <w:szCs w:val="22"/>
                <w:lang w:eastAsia="it-IT"/>
              </w:rPr>
              <w:t>2.095.278</w:t>
            </w:r>
          </w:p>
        </w:tc>
        <w:tc>
          <w:tcPr>
            <w:tcW w:w="15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sz w:val="22"/>
                <w:szCs w:val="22"/>
                <w:lang w:eastAsia="it-IT"/>
              </w:rPr>
            </w:pPr>
            <w:r>
              <w:rPr>
                <w:rFonts w:cs="Calibri" w:ascii="Calibri" w:hAnsi="Calibri" w:asciiTheme="minorHAnsi" w:cstheme="minorHAnsi" w:hAnsiTheme="minorHAnsi"/>
                <w:color w:val="000000"/>
                <w:sz w:val="22"/>
                <w:szCs w:val="22"/>
                <w:lang w:eastAsia="it-IT"/>
              </w:rPr>
              <w:t xml:space="preserve">      </w:t>
            </w:r>
            <w:r>
              <w:rPr>
                <w:rFonts w:cs="Calibri" w:ascii="Calibri" w:hAnsi="Calibri" w:asciiTheme="minorHAnsi" w:cstheme="minorHAnsi" w:hAnsiTheme="minorHAnsi"/>
                <w:color w:val="000000"/>
                <w:sz w:val="22"/>
                <w:szCs w:val="22"/>
                <w:lang w:eastAsia="it-IT"/>
              </w:rPr>
              <w:t>2.005.424</w:t>
            </w:r>
          </w:p>
        </w:tc>
        <w:tc>
          <w:tcPr>
            <w:tcW w:w="29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sz w:val="22"/>
                <w:szCs w:val="22"/>
                <w:lang w:eastAsia="it-IT"/>
              </w:rPr>
            </w:pPr>
            <w:r>
              <w:rPr>
                <w:rFonts w:cs="Calibri" w:ascii="Calibri" w:hAnsi="Calibri" w:asciiTheme="minorHAnsi" w:cstheme="minorHAnsi" w:hAnsiTheme="minorHAnsi"/>
                <w:color w:val="000000"/>
                <w:sz w:val="22"/>
                <w:szCs w:val="22"/>
                <w:lang w:eastAsia="it-IT"/>
              </w:rPr>
              <w:t xml:space="preserve">              </w:t>
            </w:r>
            <w:r>
              <w:rPr>
                <w:rFonts w:cs="Calibri" w:ascii="Calibri" w:hAnsi="Calibri" w:asciiTheme="minorHAnsi" w:cstheme="minorHAnsi" w:hAnsiTheme="minorHAnsi"/>
                <w:color w:val="000000"/>
                <w:sz w:val="22"/>
                <w:szCs w:val="22"/>
                <w:lang w:eastAsia="it-IT"/>
              </w:rPr>
              <w:t>349.692</w:t>
            </w:r>
          </w:p>
        </w:tc>
      </w:tr>
    </w:tbl>
    <w:p>
      <w:pPr>
        <w:pStyle w:val="Normal"/>
        <w:widowControl w:val="false"/>
        <w:jc w:val="both"/>
        <w:rPr>
          <w:rFonts w:ascii="Calibri" w:hAnsi="Calibri" w:cs="Calibri" w:asciiTheme="minorHAnsi" w:cstheme="minorHAnsi" w:hAnsiTheme="minorHAnsi"/>
          <w:bCs/>
          <w:sz w:val="22"/>
          <w:szCs w:val="22"/>
        </w:rPr>
      </w:pPr>
      <w:r/>
      <w:r>
        <w:rPr>
          <w:rFonts w:ascii="Calibri" w:hAnsi="Calibri"/>
        </w:rPr>
        <w:fldChar w:fldCharType="end"/>
      </w:r>
      <w:r>
        <w:rPr>
          <w:rFonts w:ascii="Calibri" w:hAnsi="Calibri"/>
        </w:rPr>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Cs/>
          <w:sz w:val="22"/>
          <w:szCs w:val="22"/>
        </w:rPr>
        <w:t>I debiti verso Istituto Cassiere pari ad 13€ si riferiscono al rimborso delle commissioni bancarie.</w:t>
      </w:r>
    </w:p>
    <w:p>
      <w:pPr>
        <w:pStyle w:val="Normal"/>
        <w:widowControl w:val="false"/>
        <w:jc w:val="both"/>
        <w:rPr>
          <w:rFonts w:ascii="Calibri" w:hAnsi="Calibri" w:cs="Calibri" w:asciiTheme="minorHAnsi" w:cstheme="minorHAnsi" w:hAnsiTheme="minorHAnsi"/>
          <w:bCs/>
          <w:sz w:val="22"/>
          <w:szCs w:val="22"/>
        </w:rPr>
      </w:pPr>
      <w:r>
        <w:rPr>
          <w:rFonts w:cs="Calibri" w:cstheme="minorHAnsi" w:ascii="Calibri" w:hAnsi="Calibri"/>
          <w:bCs/>
          <w:sz w:val="22"/>
          <w:szCs w:val="22"/>
        </w:rPr>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Cs/>
          <w:sz w:val="22"/>
          <w:szCs w:val="22"/>
        </w:rPr>
        <w:t xml:space="preserve">I debiti tributari pari a </w:t>
      </w:r>
      <w:r>
        <w:rPr>
          <w:rFonts w:cs="Calibri" w:ascii="Calibri" w:hAnsi="Calibri" w:asciiTheme="minorHAnsi" w:cstheme="minorHAnsi" w:hAnsiTheme="minorHAnsi"/>
          <w:bCs/>
          <w:color w:val="000000"/>
          <w:sz w:val="22"/>
          <w:szCs w:val="22"/>
          <w:lang w:eastAsia="en-US"/>
        </w:rPr>
        <w:t>58.257</w:t>
      </w:r>
      <w:r>
        <w:rPr>
          <w:rFonts w:cs="Calibri" w:ascii="Calibri" w:hAnsi="Calibri" w:asciiTheme="minorHAnsi" w:cstheme="minorHAnsi" w:hAnsiTheme="minorHAnsi"/>
          <w:bCs/>
          <w:sz w:val="22"/>
          <w:szCs w:val="22"/>
        </w:rPr>
        <w:t xml:space="preserve">€ si riferiscono al versamento </w:t>
      </w:r>
      <w:r>
        <w:rPr>
          <w:rFonts w:cs="Calibri" w:ascii="Calibri" w:hAnsi="Calibri" w:asciiTheme="minorHAnsi" w:cstheme="minorHAnsi" w:hAnsiTheme="minorHAnsi"/>
          <w:sz w:val="22"/>
          <w:szCs w:val="22"/>
        </w:rPr>
        <w:t>delle ritenute IRPEF relativamente al mese di dicembre ed alle imposte Ires e Irap relative all’esercizio 2025</w:t>
      </w:r>
      <w:r>
        <w:rPr>
          <w:rFonts w:cs="Calibri" w:ascii="Calibri" w:hAnsi="Calibri" w:asciiTheme="minorHAnsi" w:cstheme="minorHAnsi" w:hAnsiTheme="minorHAnsi"/>
          <w:bCs/>
          <w:sz w:val="22"/>
          <w:szCs w:val="22"/>
        </w:rPr>
        <w:t>.</w:t>
      </w:r>
    </w:p>
    <w:p>
      <w:pPr>
        <w:pStyle w:val="Normal"/>
        <w:widowControl w:val="false"/>
        <w:jc w:val="both"/>
        <w:rPr>
          <w:rFonts w:ascii="Calibri" w:hAnsi="Calibri" w:cs="Calibri" w:asciiTheme="minorHAnsi" w:cstheme="minorHAnsi" w:hAnsiTheme="minorHAnsi"/>
          <w:sz w:val="22"/>
          <w:szCs w:val="22"/>
        </w:rPr>
      </w:pPr>
      <w:r>
        <w:rPr>
          <w:rFonts w:eastAsia="Garamond" w:cs="Calibri" w:ascii="Calibri" w:hAnsi="Calibri" w:asciiTheme="minorHAnsi" w:cstheme="minorHAnsi" w:hAnsiTheme="minorHAnsi"/>
          <w:bCs/>
          <w:sz w:val="22"/>
          <w:szCs w:val="22"/>
        </w:rPr>
        <w:t xml:space="preserve"> </w:t>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I debiti verso istituti previdenziali pari ad </w:t>
      </w:r>
      <w:r>
        <w:rPr>
          <w:rFonts w:cs="Calibri" w:ascii="Calibri" w:hAnsi="Calibri" w:asciiTheme="minorHAnsi" w:cstheme="minorHAnsi" w:hAnsiTheme="minorHAnsi"/>
          <w:color w:val="000000"/>
          <w:sz w:val="22"/>
          <w:szCs w:val="22"/>
          <w:lang w:eastAsia="en-US"/>
        </w:rPr>
        <w:t>96.636</w:t>
      </w:r>
      <w:r>
        <w:rPr>
          <w:rFonts w:cs="Calibri" w:ascii="Calibri" w:hAnsi="Calibri" w:asciiTheme="minorHAnsi" w:cstheme="minorHAnsi" w:hAnsiTheme="minorHAnsi"/>
          <w:sz w:val="22"/>
          <w:szCs w:val="22"/>
        </w:rPr>
        <w:t xml:space="preserve">€ si riferiscono ai contributi </w:t>
      </w:r>
      <w:r>
        <w:rPr>
          <w:rFonts w:cs="Calibri" w:ascii="Calibri" w:hAnsi="Calibri" w:asciiTheme="minorHAnsi" w:cstheme="minorHAnsi" w:hAnsiTheme="minorHAnsi"/>
          <w:bCs/>
          <w:sz w:val="22"/>
          <w:szCs w:val="22"/>
        </w:rPr>
        <w:t>relativi alle competenze del mese di dicembre.</w:t>
      </w:r>
    </w:p>
    <w:p>
      <w:pPr>
        <w:pStyle w:val="Normal"/>
        <w:widowControl w:val="false"/>
        <w:jc w:val="both"/>
        <w:rPr>
          <w:rFonts w:ascii="Calibri" w:hAnsi="Calibri" w:cs="Calibri" w:asciiTheme="minorHAnsi" w:cstheme="minorHAnsi" w:hAnsiTheme="minorHAnsi"/>
          <w:bCs/>
          <w:sz w:val="22"/>
          <w:szCs w:val="22"/>
        </w:rPr>
      </w:pPr>
      <w:r>
        <w:rPr>
          <w:rFonts w:cs="Calibri" w:cstheme="minorHAnsi" w:ascii="Calibri" w:hAnsi="Calibri"/>
          <w:bCs/>
          <w:sz w:val="22"/>
          <w:szCs w:val="22"/>
        </w:rPr>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Cs/>
          <w:sz w:val="22"/>
          <w:szCs w:val="22"/>
        </w:rPr>
        <w:t xml:space="preserve">Gli altri debiti per un totale di </w:t>
      </w:r>
      <w:r>
        <w:rPr>
          <w:rFonts w:cs="Calibri" w:ascii="Calibri" w:hAnsi="Calibri" w:asciiTheme="minorHAnsi" w:cstheme="minorHAnsi" w:hAnsiTheme="minorHAnsi"/>
          <w:bCs/>
          <w:color w:val="000000"/>
          <w:sz w:val="22"/>
          <w:szCs w:val="22"/>
          <w:lang w:eastAsia="en-US"/>
        </w:rPr>
        <w:t>182.347€</w:t>
      </w:r>
      <w:r>
        <w:rPr>
          <w:rFonts w:cs="Calibri" w:ascii="Calibri" w:hAnsi="Calibri" w:asciiTheme="minorHAnsi" w:cstheme="minorHAnsi" w:hAnsiTheme="minorHAnsi"/>
          <w:bCs/>
          <w:sz w:val="22"/>
          <w:szCs w:val="22"/>
        </w:rPr>
        <w:t xml:space="preserve"> si riferiscono a i debiti verso il personale per competenze residue, comprensivi delle somme relative ai rinnovi contrattuali e a debiti per l’erogazione di contributi nei confronti degli aventi diritto.</w:t>
      </w:r>
    </w:p>
    <w:p>
      <w:pPr>
        <w:pStyle w:val="Normal"/>
        <w:widowControl w:val="false"/>
        <w:jc w:val="both"/>
        <w:rPr>
          <w:rFonts w:ascii="Calibri" w:hAnsi="Calibri" w:cs="Calibri" w:asciiTheme="minorHAnsi" w:cstheme="minorHAnsi" w:hAnsiTheme="minorHAnsi"/>
          <w:bCs/>
          <w:sz w:val="22"/>
          <w:szCs w:val="22"/>
        </w:rPr>
      </w:pPr>
      <w:r>
        <w:rPr>
          <w:rFonts w:cs="Calibri" w:cstheme="minorHAnsi" w:ascii="Calibri" w:hAnsi="Calibri"/>
          <w:bCs/>
          <w:sz w:val="22"/>
          <w:szCs w:val="22"/>
        </w:rPr>
      </w:r>
    </w:p>
    <w:p>
      <w:pPr>
        <w:pStyle w:val="Normal"/>
        <w:widowControl w:val="false"/>
        <w:jc w:val="both"/>
        <w:rPr>
          <w:rFonts w:ascii="Calibri" w:hAnsi="Calibri" w:cs="Calibri" w:asciiTheme="minorHAnsi" w:cstheme="minorHAnsi" w:hAnsiTheme="minorHAnsi"/>
          <w:bCs/>
          <w:sz w:val="22"/>
          <w:szCs w:val="22"/>
        </w:rPr>
      </w:pPr>
      <w:r>
        <w:rPr>
          <w:rFonts w:cs="Calibri" w:cstheme="minorHAnsi" w:ascii="Calibri" w:hAnsi="Calibri"/>
          <w:bCs/>
          <w:sz w:val="22"/>
          <w:szCs w:val="22"/>
        </w:rPr>
      </w:r>
    </w:p>
    <w:p>
      <w:pPr>
        <w:pStyle w:val="Normal"/>
        <w:widowControl w:val="false"/>
        <w:jc w:val="both"/>
        <w:rPr>
          <w:rFonts w:ascii="Calibri" w:hAnsi="Calibri" w:cs="Calibri" w:asciiTheme="minorHAnsi" w:cstheme="minorHAnsi" w:hAnsiTheme="minorHAnsi"/>
          <w:b/>
          <w:bCs/>
          <w:sz w:val="22"/>
          <w:szCs w:val="22"/>
        </w:rPr>
      </w:pPr>
      <w:bookmarkStart w:id="14" w:name="PasRatRis"/>
      <w:bookmarkStart w:id="15" w:name="Copia_di_Nota58_1"/>
      <w:bookmarkStart w:id="16" w:name="Copia_di_PasDeb_1"/>
      <w:bookmarkEnd w:id="14"/>
      <w:bookmarkEnd w:id="15"/>
      <w:bookmarkEnd w:id="16"/>
      <w:r>
        <w:rPr>
          <w:rFonts w:cs="Calibri" w:ascii="Calibri" w:hAnsi="Calibri" w:asciiTheme="minorHAnsi" w:cstheme="minorHAnsi" w:hAnsiTheme="minorHAnsi"/>
          <w:b/>
          <w:bCs/>
          <w:i/>
          <w:sz w:val="22"/>
          <w:szCs w:val="22"/>
        </w:rPr>
        <w:t xml:space="preserve">E) </w:t>
      </w:r>
      <w:r>
        <w:rPr>
          <w:rFonts w:cs="Calibri" w:ascii="Calibri" w:hAnsi="Calibri" w:asciiTheme="minorHAnsi" w:cstheme="minorHAnsi" w:hAnsiTheme="minorHAnsi"/>
          <w:b/>
          <w:bCs/>
          <w:sz w:val="22"/>
          <w:szCs w:val="22"/>
        </w:rPr>
        <w:t>RATEI E RISCONTI</w:t>
      </w:r>
    </w:p>
    <w:p>
      <w:pPr>
        <w:pStyle w:val="Normal"/>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tbl>
      <w:tblPr>
        <w:tblW w:w="9776" w:type="dxa"/>
        <w:jc w:val="left"/>
        <w:tblInd w:w="151" w:type="dxa"/>
        <w:tblLayout w:type="fixed"/>
        <w:tblCellMar>
          <w:top w:w="0" w:type="dxa"/>
          <w:left w:w="70" w:type="dxa"/>
          <w:bottom w:w="0" w:type="dxa"/>
          <w:right w:w="70" w:type="dxa"/>
        </w:tblCellMar>
        <w:tblLook w:firstRow="1" w:noVBand="1" w:lastRow="0" w:firstColumn="1" w:lastColumn="0" w:noHBand="0" w:val="04a0"/>
      </w:tblPr>
      <w:tblGrid>
        <w:gridCol w:w="1696"/>
        <w:gridCol w:w="1839"/>
        <w:gridCol w:w="1702"/>
        <w:gridCol w:w="1842"/>
        <w:gridCol w:w="2697"/>
      </w:tblGrid>
      <w:tr>
        <w:trPr>
          <w:tblHeader w:val="true"/>
          <w:trHeight w:val="300" w:hRule="atLeast"/>
        </w:trPr>
        <w:tc>
          <w:tcPr>
            <w:tcW w:w="9776" w:type="dxa"/>
            <w:gridSpan w:val="5"/>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RATEI E RISCONTI PASSIVI</w:t>
            </w:r>
          </w:p>
        </w:tc>
      </w:tr>
      <w:tr>
        <w:trPr>
          <w:tblHeader w:val="true"/>
          <w:trHeight w:val="300" w:hRule="atLeast"/>
        </w:trPr>
        <w:tc>
          <w:tcPr>
            <w:tcW w:w="1696" w:type="dxa"/>
            <w:tcBorders>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Descrizione</w:t>
            </w:r>
          </w:p>
        </w:tc>
        <w:tc>
          <w:tcPr>
            <w:tcW w:w="1839"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31/12/2024</w:t>
            </w:r>
          </w:p>
        </w:tc>
        <w:tc>
          <w:tcPr>
            <w:tcW w:w="1702"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Incrementi</w:t>
            </w:r>
          </w:p>
        </w:tc>
        <w:tc>
          <w:tcPr>
            <w:tcW w:w="1842"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Decrementi</w:t>
            </w:r>
          </w:p>
        </w:tc>
        <w:tc>
          <w:tcPr>
            <w:tcW w:w="2697"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31/12/2025</w:t>
            </w:r>
          </w:p>
        </w:tc>
      </w:tr>
      <w:tr>
        <w:trPr>
          <w:trHeight w:val="300" w:hRule="atLeast"/>
        </w:trPr>
        <w:tc>
          <w:tcPr>
            <w:tcW w:w="1696"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Ratei passivi</w:t>
            </w:r>
          </w:p>
        </w:tc>
        <w:tc>
          <w:tcPr>
            <w:tcW w:w="1839"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70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10.301</w:t>
            </w:r>
          </w:p>
        </w:tc>
        <w:tc>
          <w:tcPr>
            <w:tcW w:w="184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2.243</w:t>
            </w:r>
          </w:p>
        </w:tc>
        <w:tc>
          <w:tcPr>
            <w:tcW w:w="2697"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8.058</w:t>
            </w:r>
          </w:p>
        </w:tc>
      </w:tr>
      <w:tr>
        <w:trPr>
          <w:trHeight w:val="300" w:hRule="atLeast"/>
        </w:trPr>
        <w:tc>
          <w:tcPr>
            <w:tcW w:w="1696"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Risconti passivi</w:t>
            </w:r>
          </w:p>
        </w:tc>
        <w:tc>
          <w:tcPr>
            <w:tcW w:w="183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4.185.761</w:t>
            </w:r>
          </w:p>
        </w:tc>
        <w:tc>
          <w:tcPr>
            <w:tcW w:w="170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4.085.962</w:t>
            </w:r>
          </w:p>
        </w:tc>
        <w:tc>
          <w:tcPr>
            <w:tcW w:w="184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4.185.761</w:t>
            </w:r>
          </w:p>
        </w:tc>
        <w:tc>
          <w:tcPr>
            <w:tcW w:w="2697"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4.085.962</w:t>
            </w:r>
          </w:p>
        </w:tc>
      </w:tr>
      <w:tr>
        <w:trPr>
          <w:trHeight w:val="300" w:hRule="atLeast"/>
        </w:trPr>
        <w:tc>
          <w:tcPr>
            <w:tcW w:w="1696" w:type="dxa"/>
            <w:tcBorders>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c>
          <w:tcPr>
            <w:tcW w:w="183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4.185.761</w:t>
            </w:r>
          </w:p>
        </w:tc>
        <w:tc>
          <w:tcPr>
            <w:tcW w:w="170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4.096.264</w:t>
            </w:r>
          </w:p>
        </w:tc>
        <w:tc>
          <w:tcPr>
            <w:tcW w:w="184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4.188.004</w:t>
            </w:r>
          </w:p>
        </w:tc>
        <w:tc>
          <w:tcPr>
            <w:tcW w:w="2697"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4.094.020</w:t>
            </w:r>
          </w:p>
        </w:tc>
      </w:tr>
    </w:tbl>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Standard"/>
        <w:suppressAutoHyphens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Standard"/>
        <w:suppressAutoHyphens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 ratei attivi ammontano a 8.058€ e si riferiscono costi per servizi sociali a convenzione per disabili.</w:t>
      </w:r>
    </w:p>
    <w:p>
      <w:pPr>
        <w:pStyle w:val="Standard"/>
        <w:suppressAutoHyphens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 risconti passivi derivano dal rinvio di una quota di ricavi, relativi ai contributi assegnati, non correlata ai costi dell’esercizio come da tabella seguente.</w:t>
      </w:r>
    </w:p>
    <w:p>
      <w:pPr>
        <w:pStyle w:val="Normal"/>
        <w:widowControl w:val="false"/>
        <w:jc w:val="both"/>
        <w:rPr>
          <w:rFonts w:ascii="Calibri" w:hAnsi="Calibri" w:cs="Calibri" w:asciiTheme="minorHAnsi" w:cstheme="minorHAnsi" w:hAnsiTheme="minorHAnsi"/>
          <w:lang w:eastAsia="it-IT"/>
        </w:rPr>
      </w:pPr>
      <w:r>
        <w:fldChar w:fldCharType="begin"/>
      </w:r>
      <w:r>
        <w:rPr>
          <w:rFonts w:ascii="Calibri" w:hAnsi="Calibri"/>
        </w:rPr>
        <w:instrText xml:space="preserve">LINK Excel.Sheet.12 "F:\\DA COPIARE\\SDS VALDICHIANA\\TABELLE NOTA INTEGRATIVA2025_08.06.26.xlsx" "passivo !R114C1:R165C2" \a \f 4 \h  \* MERGEFORMAT</w:instrText>
      </w:r>
      <w:r>
        <w:rPr>
          <w:rFonts w:ascii="Calibri" w:hAnsi="Calibri"/>
        </w:rPr>
      </w:r>
      <w:r>
        <w:rPr>
          <w:rFonts w:ascii="Calibri" w:hAnsi="Calibri"/>
        </w:rPr>
        <w:fldChar w:fldCharType="separate"/>
      </w:r>
      <w:r/>
      <w:r>
        <w:rPr>
          <w:rFonts w:ascii="Calibri" w:hAnsi="Calibri"/>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7858"/>
        <w:gridCol w:w="1779"/>
      </w:tblGrid>
      <w:tr>
        <w:trPr>
          <w:tblHeader w:val="true"/>
          <w:trHeight w:val="20" w:hRule="atLeast"/>
        </w:trPr>
        <w:tc>
          <w:tcPr>
            <w:tcW w:w="9637" w:type="dxa"/>
            <w:gridSpan w:val="2"/>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Risconti Passivi</w:t>
            </w:r>
          </w:p>
        </w:tc>
      </w:tr>
      <w:tr>
        <w:trPr>
          <w:tblHeader w:val="true"/>
          <w:trHeight w:val="20" w:hRule="atLeast"/>
        </w:trPr>
        <w:tc>
          <w:tcPr>
            <w:tcW w:w="7858" w:type="dxa"/>
            <w:tcBorders>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Risconti Passivi</w:t>
            </w:r>
          </w:p>
        </w:tc>
        <w:tc>
          <w:tcPr>
            <w:tcW w:w="1779"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Importo</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RT "TRASPORTO PERSONE FRAGILI DGRT N. 1497 del 09/12/2024  e DD. 1454 DEL 22/01/2025" - ANNUALITA' 2025</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1.794</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FONDI FAMIGLIA DGR N. 507 DEL 22/04/2024 E DD. 12773 DEL 05/06/2024 - ANNUALITA' 2025</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11.119</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FNA PER GRAVISSIME DISABILITA' DGRT n. 1186 del 21/10/2024 SENESE FNA ANNO 2024 - DD. 24497 del 29/10/2024 anno 2024</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321.989</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FNA RISOR.STAT. PRONTO BADANTE DGRT 292/23 E DD 6133/23 - ANNO 2024_2° ANNUALITA</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54.378</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FNA RISOR.STAT. PRONTO BADANTE DGRT 292/23 E DD 6133/23 -1° ANNUALITA</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84.404</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AUTON. E IND. InAuto FNA 2022-DD. 15621 DEL 11/07/2023-DGRT 759/2024</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10.734</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DISAB. DOPO DI NOI_DGRT 508/24 E DD 16220/24 E DD 28151/24 E DD 1936/25</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19.740</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CON NOI E DOPO DI NOI_DGRT.539/21 e DD 23317/21_DD 23317/21 E DD 5681/23</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12.335</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CON NOI E DOPO DI NOI AMIATA E VALDICH. DGRT 515/22 E DD 26050/22</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7.000</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CON NOI E DOPO DI NOI AMIATA E VALDICH.DGRT 368/23 E DD 27527/23-ANNO 2022</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13.951</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CAREGIVER DGRT 126/24 E DD 14522/24 - ANNO 2024</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539</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CARGIVER DGRT 801/25 E DD 16919/25</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42.929</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PRNA 2022-2024 CONSOLID E CAPAC.AMBITI TERR.DD 17233/23-ANNO 2024</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53.612</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RIABILIT.DISTURBI GIOCO AZZARDO - DD 16945/24</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19.774</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FONDO GIOCO AZZARDO PATOLOGICO DGRT 442/25 E DD 13541/25  - IO NON MI GIOCO</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29.856</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2024 - DGR 798/25 _DD 26155/25 - PROG.PIPPI - ANNO 2024</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70.093</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2024 - DGR 798/25 - DD. 26155/25 - QUOTA ORDINARIA</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620</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PROG.VITA IND. "VITA M.I.A" PRFSE+2021-2027_DD 20946/24_ANNO 2025</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272.754</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VITA IND."VITA M.I.A" PRFSE+21-27_DD 20946/24_INTEGR.DD 10131/25_ANNO 2025</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191.667</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2024 DGRT 798/25_DD 26155/25_AFFIDO FAMILIARE</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29.809</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2023 DGRT 1317/23_DD 20815/24_DIMISSIONI PROTETTE_ANNO 2023</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13.710</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2022 DGRT 1358/22_DD 15215/23_SUPERVISIONE</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15.141</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val="en-US" w:eastAsia="it-IT"/>
              </w:rPr>
            </w:pPr>
            <w:r>
              <w:rPr>
                <w:rFonts w:cs="Calibri" w:ascii="Calibri" w:hAnsi="Calibri" w:asciiTheme="minorHAnsi" w:cstheme="minorHAnsi" w:hAnsiTheme="minorHAnsi"/>
                <w:color w:val="000000"/>
                <w:lang w:val="en-US" w:eastAsia="it-IT"/>
              </w:rPr>
              <w:t>FNPS 2022 DGRT 1358/22_DD 15215/23_RESIDUO PIPPI 2022</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106</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2024_DGR 798/25_DD 26155/25_SUPERVISIONE</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15.074</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2022_DD 1358/22_DD 15215/23_PROGRAMMA PIPPI</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10.020</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2021_DGRT 304/22 E DD. 15215/23_DIMISS.PROTETTE E SUPERVISIONE</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15.208</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FONDI FAMIGLIA DGRT 507/24_DD 12773/24_ANNO 2023</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57.329</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FONDI FAMIGLIA_DD 15912/22_ANNUALITA' 2021</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30.668</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FONDI FAMIGLIA DGRT 158/23</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7.596</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PROGR.ANTIVIOLENZA_DD 27521/24_ANNO 2025</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15.948</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PROGR.ANTIVIOLENZA_DD 27521/24_ANNO 2024</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1.268</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PROG.ANTIVIOLENZA_DD 26556/25_ANNO 2025</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16.380</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INTERV.SOSTEGNO CURE DOMICILIARI_DGRT 4891/24</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83.706</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INTERV.SOSTEGNO CURE DOMICILIARI_DD 4891/25_ANNO 2025</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222.912</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INTERV.ACCOMP.LAVORO PERSONE FRAGILI_DD 12541/24_PRFSE 21-27_ANNO 2024</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336.051</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INTERV.ACCOMP.LAVORO PERSONE FRAGILI_DD 12541/24_PRFSE 21-27_ANNO 2025</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343.517</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PROG.RAFFORZ.CAPACITA' IST E ANIMAZ_DD 12262/25_PROG.HELP_ANNO</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44.566</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2024_DGRT 798/25_DD 26155/25_FONDO SOLID.INTERIS.MINORI STRANIERI ANNO 2024</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1.759</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2024_DGRT 798/25_DD 26155/25_FONDO SOLID.INTER. RETTE MINORI STRUTT ANNO 24</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8.524</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FONDI FAMIGLIA DGRT 1193/25_DD 18175/25_ANNO 2025</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55.401</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2024_DGRT 798/25_DD 26155/25_DIMISSIONI PROTETTE</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30.148</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2024_DGRT 798/25_DD 26155/25_SUPERVISIONE</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15.074</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FINANANZIAMENTO MINISTERO DEL LAVORO_PNRR 1.3.2_STAZIONI DI POSTA- CENTRO SERVIZI</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180.000</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FINANANZIAMENTO MINISTERO DEL LAVOROPNRR 1.3.1_HOUSING FIRST - CENTRO SERVIZI</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210.000</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SDS SENESE_CONVENZIONE PNRR 1.1.3 RAFFORZ.SERVIZI DOMIC.DIMISS.ANTIC.ASSISTITA</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82.500</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FONDO POVERTA'_DRECTO MIN. 1870 DEL 03.03.22_ANNO 2021</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11.000</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FONDO POVERTA' - DECR.MINISTER. N. 429 DEL 14/12/23_ANNO 2022</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255.553</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FONDO POVERTA' DECR.MINISTER. PROT. N. 0670628 DEL 30/12/24_ANNO 2023</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410.011</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FONDO POVERTA' DECR.MINISTER. DEL 02/04/25_ANNO 2024</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347.695</w:t>
            </w:r>
          </w:p>
        </w:tc>
      </w:tr>
      <w:tr>
        <w:trPr>
          <w:trHeight w:val="20" w:hRule="atLeast"/>
        </w:trPr>
        <w:tc>
          <w:tcPr>
            <w:tcW w:w="7858" w:type="dxa"/>
            <w:tcBorders>
              <w:left w:val="single" w:sz="4" w:space="0" w:color="000000"/>
              <w:bottom w:val="single" w:sz="4" w:space="0" w:color="000000"/>
              <w:right w:val="single" w:sz="4" w:space="0" w:color="000000"/>
            </w:tcBorders>
            <w:vAlign w:val="center"/>
          </w:tcPr>
          <w:p>
            <w:pPr>
              <w:pStyle w:val="Normal"/>
              <w:widowControl w:val="false"/>
              <w:suppressAutoHyphens w:val="false"/>
              <w:jc w:val="both"/>
              <w:rPr>
                <w:rFonts w:ascii="Calibri" w:hAnsi="Calibri" w:cs="Calibri" w:asciiTheme="minorHAnsi" w:cstheme="minorHAnsi" w:hAnsiTheme="minorHAnsi"/>
                <w:b/>
                <w:bCs/>
                <w:lang w:eastAsia="it-IT"/>
              </w:rPr>
            </w:pPr>
            <w:r>
              <w:rPr>
                <w:rFonts w:cs="Calibri" w:ascii="Calibri" w:hAnsi="Calibri" w:asciiTheme="minorHAnsi" w:cstheme="minorHAnsi" w:hAnsiTheme="minorHAnsi"/>
                <w:b/>
                <w:bCs/>
                <w:lang w:eastAsia="it-IT"/>
              </w:rPr>
              <w:t>Totale</w:t>
            </w:r>
          </w:p>
        </w:tc>
        <w:tc>
          <w:tcPr>
            <w:tcW w:w="17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4.085.962</w:t>
            </w:r>
          </w:p>
        </w:tc>
      </w:tr>
    </w:tbl>
    <w:p>
      <w:pPr>
        <w:pStyle w:val="Normal"/>
        <w:widowControl w:val="false"/>
        <w:jc w:val="both"/>
        <w:rPr>
          <w:rFonts w:ascii="Calibri" w:hAnsi="Calibri" w:cs="Calibri" w:asciiTheme="minorHAnsi" w:cstheme="minorHAnsi" w:hAnsiTheme="minorHAnsi"/>
          <w:b/>
          <w:sz w:val="22"/>
          <w:szCs w:val="22"/>
        </w:rPr>
      </w:pPr>
      <w:r/>
      <w:r>
        <w:rPr>
          <w:rFonts w:ascii="Calibri" w:hAnsi="Calibri"/>
        </w:rPr>
        <w:fldChar w:fldCharType="end"/>
      </w:r>
      <w:r>
        <w:rPr>
          <w:rFonts w:ascii="Calibri" w:hAnsi="Calibri"/>
        </w:rPr>
      </w:r>
    </w:p>
    <w:p>
      <w:pPr>
        <w:pStyle w:val="Normal"/>
        <w:widowControl w:val="false"/>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Altre Informazioni (Art. 2427 C.C.)</w:t>
      </w:r>
    </w:p>
    <w:p>
      <w:pPr>
        <w:pStyle w:val="Normal"/>
        <w:widowControl w:val="false"/>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widowControl w:val="false"/>
        <w:rPr>
          <w:rFonts w:ascii="Calibri" w:hAnsi="Calibri" w:cs="Calibri" w:asciiTheme="minorHAnsi" w:cstheme="minorHAnsi" w:hAnsiTheme="minorHAnsi"/>
          <w:sz w:val="22"/>
          <w:szCs w:val="22"/>
        </w:rPr>
      </w:pPr>
      <w:r>
        <w:rPr>
          <w:rFonts w:cs="Calibri" w:ascii="Calibri" w:hAnsi="Calibri" w:asciiTheme="minorHAnsi" w:cstheme="minorHAnsi" w:hAnsiTheme="minorHAnsi"/>
          <w:b/>
          <w:i/>
          <w:sz w:val="22"/>
          <w:szCs w:val="22"/>
        </w:rPr>
        <w:t>Partecipazioni in imprese controllate e collegate (n. 5 e n. 11 art.2427 c.c.)</w:t>
      </w:r>
    </w:p>
    <w:p>
      <w:pPr>
        <w:pStyle w:val="WW-Corpodeltesto3"/>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Il Consorzio non possiede partecipazioni in Aziende Sanitarie, Imprese e/o Enti Pubblici e/o Enti privati né direttamente, per interposta persona o per il tramite di società fiduciarie e pertanto non risultano iscritti proventi a tale titolo.</w:t>
      </w:r>
    </w:p>
    <w:p>
      <w:pPr>
        <w:pStyle w:val="Normal"/>
        <w:widowControl w:val="false"/>
        <w:rPr>
          <w:rFonts w:ascii="Calibri" w:hAnsi="Calibri" w:cs="Calibri" w:asciiTheme="minorHAnsi" w:cstheme="minorHAnsi" w:hAnsiTheme="minorHAnsi"/>
          <w:sz w:val="22"/>
          <w:szCs w:val="22"/>
        </w:rPr>
      </w:pPr>
      <w:r>
        <w:rPr>
          <w:rFonts w:cs="Calibri" w:ascii="Calibri" w:hAnsi="Calibri" w:asciiTheme="minorHAnsi" w:cstheme="minorHAnsi" w:hAnsiTheme="minorHAnsi"/>
          <w:b/>
          <w:i/>
          <w:sz w:val="22"/>
          <w:szCs w:val="22"/>
        </w:rPr>
        <w:t>Oneri finanziari capitalizzati (n. 8 art. 2427 c.c.)</w:t>
      </w:r>
    </w:p>
    <w:p>
      <w:pPr>
        <w:pStyle w:val="Corpodeltesto"/>
        <w:widowControl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Durante l’esercizio non sono stati capitalizzati oneri finanziari e pertanto nessuna voce dell’attivo patrimoniale è stata incrementata da poste.</w:t>
      </w:r>
    </w:p>
    <w:p>
      <w:pPr>
        <w:pStyle w:val="Corpodeltesto"/>
        <w:widowControl w:val="false"/>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i/>
          <w:sz w:val="22"/>
          <w:szCs w:val="22"/>
        </w:rPr>
        <w:t>Ripartizione dei ricavi</w:t>
      </w:r>
      <w:r>
        <w:rPr>
          <w:rFonts w:cs="Calibri" w:ascii="Calibri" w:hAnsi="Calibri" w:asciiTheme="minorHAnsi" w:cstheme="minorHAnsi" w:hAnsiTheme="minorHAnsi"/>
          <w:i/>
          <w:sz w:val="22"/>
          <w:szCs w:val="22"/>
        </w:rPr>
        <w:t xml:space="preserve"> </w:t>
      </w:r>
      <w:r>
        <w:rPr>
          <w:rFonts w:cs="Calibri" w:ascii="Calibri" w:hAnsi="Calibri" w:asciiTheme="minorHAnsi" w:cstheme="minorHAnsi" w:hAnsiTheme="minorHAnsi"/>
          <w:b/>
          <w:i/>
          <w:sz w:val="22"/>
          <w:szCs w:val="22"/>
        </w:rPr>
        <w:t>(n. 10 art. 2427 c.c.)</w:t>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Non è possibile nessuna ripartizione dei ricavi delle vendite e/o delle prestazioni, perché non sono stati conseguiti ricavi a tale titolo.</w:t>
      </w:r>
    </w:p>
    <w:p>
      <w:pPr>
        <w:pStyle w:val="Normal"/>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widowControl w:val="false"/>
        <w:rPr>
          <w:rFonts w:ascii="Calibri" w:hAnsi="Calibri" w:cs="Calibri" w:asciiTheme="minorHAnsi" w:cstheme="minorHAnsi" w:hAnsiTheme="minorHAnsi"/>
          <w:sz w:val="22"/>
          <w:szCs w:val="22"/>
        </w:rPr>
      </w:pPr>
      <w:r>
        <w:rPr>
          <w:rFonts w:cs="Calibri" w:ascii="Calibri" w:hAnsi="Calibri" w:asciiTheme="minorHAnsi" w:cstheme="minorHAnsi" w:hAnsiTheme="minorHAnsi"/>
          <w:b/>
          <w:i/>
          <w:sz w:val="22"/>
          <w:szCs w:val="22"/>
        </w:rPr>
        <w:t>Rettifiche e accantonamenti</w:t>
      </w:r>
    </w:p>
    <w:p>
      <w:pPr>
        <w:pStyle w:val="Corpodeltesto"/>
        <w:widowControl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Non è stato fatto luogo a rettifiche e/o accantonamenti in relazione all’applicazione di norme tributarie.</w:t>
      </w:r>
    </w:p>
    <w:p>
      <w:pPr>
        <w:pStyle w:val="Corpodeltesto"/>
        <w:widowControl w:val="false"/>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i/>
          <w:sz w:val="22"/>
          <w:szCs w:val="22"/>
        </w:rPr>
        <w:t>Compensi ad amministratori e sindaci (n. 16 art. 2427 c.c.)</w:t>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Nel corso dell’esercizio sono stati corrisposti al Collegio Sindacale i compensi stabiliti con deliberazione Assemblea dei Soci  di nomina n. 15 del 15 dicembre 2023, per complessivi 15.327€.</w:t>
      </w:r>
    </w:p>
    <w:p>
      <w:pPr>
        <w:pStyle w:val="Normal"/>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i/>
          <w:sz w:val="22"/>
          <w:szCs w:val="22"/>
        </w:rPr>
        <w:t>Azioni ed obbligazioni (n. 17 e n. 18 art.2427 c.c.)</w:t>
      </w:r>
    </w:p>
    <w:p>
      <w:pPr>
        <w:pStyle w:val="Corpodeltesto"/>
        <w:widowControl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Il consorzio al momento non dispone di fondo consortile e/o capitale netto di dotazione. Il capitale netto del consorzio non è suddiviso in azioni. Il consorzio durante l’esercizio non ha emesso azioni nonché titoli, valori simili e/o obbligazioni di nessun genere.</w:t>
      </w:r>
    </w:p>
    <w:p>
      <w:pPr>
        <w:pStyle w:val="Normal"/>
        <w:widowControl w:val="false"/>
        <w:jc w:val="both"/>
        <w:rPr>
          <w:rFonts w:ascii="Calibri" w:hAnsi="Calibri" w:cs="Calibri" w:asciiTheme="minorHAnsi" w:cstheme="minorHAnsi" w:hAnsiTheme="minorHAnsi"/>
          <w:b/>
          <w:sz w:val="22"/>
          <w:szCs w:val="22"/>
        </w:rPr>
      </w:pPr>
      <w:r>
        <w:rPr>
          <w:rFonts w:cs="Calibri" w:cstheme="minorHAnsi" w:ascii="Calibri" w:hAnsi="Calibri"/>
          <w:b/>
          <w:sz w:val="22"/>
          <w:szCs w:val="22"/>
        </w:rPr>
      </w:r>
      <w:bookmarkStart w:id="17" w:name="EcoValPro"/>
      <w:bookmarkStart w:id="18" w:name="Tab38Del"/>
      <w:bookmarkStart w:id="19" w:name="EcoValPro"/>
      <w:bookmarkStart w:id="20" w:name="Tab38Del"/>
      <w:bookmarkEnd w:id="19"/>
      <w:bookmarkEnd w:id="20"/>
    </w:p>
    <w:p>
      <w:pPr>
        <w:pStyle w:val="Normal"/>
        <w:widowControl w:val="false"/>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CONTO ECONOMICO</w:t>
      </w:r>
    </w:p>
    <w:p>
      <w:pPr>
        <w:pStyle w:val="Normal"/>
        <w:widowControl w:val="false"/>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widowControl w:val="false"/>
        <w:numPr>
          <w:ilvl w:val="0"/>
          <w:numId w:val="5"/>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VALORE DELLA PRODUZIONE</w:t>
      </w:r>
    </w:p>
    <w:p>
      <w:pPr>
        <w:pStyle w:val="Standard"/>
        <w:widowControl w:val="false"/>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Standard"/>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Il valore della produzione ammonta a </w:t>
      </w:r>
      <w:r>
        <w:rPr>
          <w:rFonts w:cs="Calibri" w:ascii="Calibri" w:hAnsi="Calibri" w:asciiTheme="minorHAnsi" w:cstheme="minorHAnsi" w:hAnsiTheme="minorHAnsi"/>
          <w:bCs/>
          <w:color w:val="000000"/>
          <w:sz w:val="22"/>
          <w:szCs w:val="22"/>
          <w:lang w:eastAsia="en-US"/>
        </w:rPr>
        <w:t>8.048.759</w:t>
      </w:r>
      <w:r>
        <w:rPr>
          <w:rFonts w:cs="Calibri" w:ascii="Calibri" w:hAnsi="Calibri" w:asciiTheme="minorHAnsi" w:cstheme="minorHAnsi" w:hAnsiTheme="minorHAnsi"/>
          <w:sz w:val="22"/>
          <w:szCs w:val="22"/>
        </w:rPr>
        <w:t>€, come dettagliato di seguito.</w:t>
      </w:r>
    </w:p>
    <w:p>
      <w:pPr>
        <w:pStyle w:val="Standard"/>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Standard"/>
        <w:widowControl w:val="false"/>
        <w:jc w:val="both"/>
        <w:rPr>
          <w:rFonts w:ascii="Calibri" w:hAnsi="Calibri" w:cs="Calibri" w:asciiTheme="minorHAnsi" w:cstheme="minorHAnsi" w:hAnsiTheme="minorHAnsi"/>
          <w:kern w:val="0"/>
          <w:lang w:eastAsia="it-IT"/>
        </w:rPr>
      </w:pPr>
      <w:r>
        <w:fldChar w:fldCharType="begin"/>
      </w:r>
      <w:r>
        <w:rPr>
          <w:rFonts w:ascii="Calibri" w:hAnsi="Calibri"/>
        </w:rPr>
        <w:instrText xml:space="preserve">LINK Excel.Sheet.12 "F:\\DA COPIARE\\SDS VALDICHIANA\\TABELLE NOTA INTEGRATIVA2025_08.06.26.xlsx" "conto economico !R1C1:R9C4" \a \f 4 \h  \* MERGEFORMAT</w:instrText>
      </w:r>
      <w:r>
        <w:rPr>
          <w:rFonts w:ascii="Calibri" w:hAnsi="Calibri"/>
        </w:rPr>
      </w:r>
      <w:r>
        <w:rPr>
          <w:rFonts w:ascii="Calibri" w:hAnsi="Calibri"/>
        </w:rPr>
        <w:fldChar w:fldCharType="separate"/>
      </w:r>
      <w:r/>
      <w:r>
        <w:rPr>
          <w:rFonts w:ascii="Calibri" w:hAnsi="Calibri"/>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5512"/>
        <w:gridCol w:w="1531"/>
        <w:gridCol w:w="1531"/>
        <w:gridCol w:w="1063"/>
      </w:tblGrid>
      <w:tr>
        <w:trPr>
          <w:tblHeader w:val="true"/>
          <w:trHeight w:val="20" w:hRule="atLeast"/>
        </w:trPr>
        <w:tc>
          <w:tcPr>
            <w:tcW w:w="9637" w:type="dxa"/>
            <w:gridSpan w:val="4"/>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VALORE DELLA PRODUZIONE</w:t>
            </w:r>
          </w:p>
        </w:tc>
      </w:tr>
      <w:tr>
        <w:trPr>
          <w:tblHeader w:val="true"/>
          <w:trHeight w:val="20" w:hRule="atLeast"/>
        </w:trPr>
        <w:tc>
          <w:tcPr>
            <w:tcW w:w="5512" w:type="dxa"/>
            <w:tcBorders>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Descrizione</w:t>
            </w:r>
          </w:p>
        </w:tc>
        <w:tc>
          <w:tcPr>
            <w:tcW w:w="1531"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31/12/2025</w:t>
            </w:r>
          </w:p>
        </w:tc>
        <w:tc>
          <w:tcPr>
            <w:tcW w:w="1531"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31/12/2024</w:t>
            </w:r>
          </w:p>
        </w:tc>
        <w:tc>
          <w:tcPr>
            <w:tcW w:w="1063"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Variazioni</w:t>
            </w:r>
          </w:p>
        </w:tc>
      </w:tr>
      <w:tr>
        <w:trPr>
          <w:trHeight w:val="20" w:hRule="atLeast"/>
        </w:trPr>
        <w:tc>
          <w:tcPr>
            <w:tcW w:w="5512"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Contributi c/esercizio</w:t>
            </w:r>
          </w:p>
        </w:tc>
        <w:tc>
          <w:tcPr>
            <w:tcW w:w="153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7.365.755</w:t>
            </w:r>
          </w:p>
        </w:tc>
        <w:tc>
          <w:tcPr>
            <w:tcW w:w="153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7.522.326</w:t>
            </w:r>
          </w:p>
        </w:tc>
        <w:tc>
          <w:tcPr>
            <w:tcW w:w="10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-156.571</w:t>
            </w:r>
          </w:p>
        </w:tc>
      </w:tr>
      <w:tr>
        <w:trPr>
          <w:trHeight w:val="20" w:hRule="atLeast"/>
        </w:trPr>
        <w:tc>
          <w:tcPr>
            <w:tcW w:w="5512"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Proventi e ricavi diversi</w:t>
            </w:r>
          </w:p>
        </w:tc>
        <w:tc>
          <w:tcPr>
            <w:tcW w:w="153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461.075</w:t>
            </w:r>
          </w:p>
        </w:tc>
        <w:tc>
          <w:tcPr>
            <w:tcW w:w="153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19.632</w:t>
            </w:r>
          </w:p>
        </w:tc>
        <w:tc>
          <w:tcPr>
            <w:tcW w:w="10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441.443</w:t>
            </w:r>
          </w:p>
        </w:tc>
      </w:tr>
      <w:tr>
        <w:trPr>
          <w:trHeight w:val="20" w:hRule="atLeast"/>
        </w:trPr>
        <w:tc>
          <w:tcPr>
            <w:tcW w:w="5512"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Concorsi, recuperi, rimborsi per attività tipiche</w:t>
            </w:r>
          </w:p>
        </w:tc>
        <w:tc>
          <w:tcPr>
            <w:tcW w:w="153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221.929</w:t>
            </w:r>
          </w:p>
        </w:tc>
        <w:tc>
          <w:tcPr>
            <w:tcW w:w="153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17.289</w:t>
            </w:r>
          </w:p>
        </w:tc>
        <w:tc>
          <w:tcPr>
            <w:tcW w:w="10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204.640</w:t>
            </w:r>
          </w:p>
        </w:tc>
      </w:tr>
      <w:tr>
        <w:trPr>
          <w:trHeight w:val="20" w:hRule="atLeast"/>
        </w:trPr>
        <w:tc>
          <w:tcPr>
            <w:tcW w:w="5512"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Compartecipazione alla spesa per prestazioni sanitarie</w:t>
            </w:r>
          </w:p>
        </w:tc>
        <w:tc>
          <w:tcPr>
            <w:tcW w:w="153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53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0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r>
      <w:tr>
        <w:trPr>
          <w:trHeight w:val="20" w:hRule="atLeast"/>
        </w:trPr>
        <w:tc>
          <w:tcPr>
            <w:tcW w:w="5512"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Costi capitalizzati</w:t>
            </w:r>
          </w:p>
        </w:tc>
        <w:tc>
          <w:tcPr>
            <w:tcW w:w="1531"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531"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0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r>
      <w:tr>
        <w:trPr>
          <w:trHeight w:val="20" w:hRule="atLeast"/>
        </w:trPr>
        <w:tc>
          <w:tcPr>
            <w:tcW w:w="5512"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Altri ricavi e proventi</w:t>
            </w:r>
          </w:p>
        </w:tc>
        <w:tc>
          <w:tcPr>
            <w:tcW w:w="153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531"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0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r>
      <w:tr>
        <w:trPr>
          <w:trHeight w:val="20" w:hRule="atLeast"/>
        </w:trPr>
        <w:tc>
          <w:tcPr>
            <w:tcW w:w="5512"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c>
          <w:tcPr>
            <w:tcW w:w="153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8.048.759</w:t>
            </w:r>
          </w:p>
        </w:tc>
        <w:tc>
          <w:tcPr>
            <w:tcW w:w="153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7.559.247</w:t>
            </w:r>
          </w:p>
        </w:tc>
        <w:tc>
          <w:tcPr>
            <w:tcW w:w="106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489.512</w:t>
            </w:r>
          </w:p>
        </w:tc>
      </w:tr>
    </w:tbl>
    <w:p>
      <w:pPr>
        <w:pStyle w:val="Standard"/>
        <w:widowControl w:val="false"/>
        <w:jc w:val="both"/>
        <w:rPr>
          <w:rFonts w:ascii="Calibri" w:hAnsi="Calibri" w:cs="Calibri" w:asciiTheme="minorHAnsi" w:cstheme="minorHAnsi" w:hAnsiTheme="minorHAnsi"/>
          <w:sz w:val="22"/>
          <w:szCs w:val="22"/>
        </w:rPr>
      </w:pPr>
      <w:r/>
      <w:r>
        <w:rPr>
          <w:rFonts w:ascii="Calibri" w:hAnsi="Calibri"/>
        </w:rPr>
        <w:fldChar w:fldCharType="end"/>
      </w:r>
      <w:r>
        <w:rPr>
          <w:rFonts w:ascii="Calibri" w:hAnsi="Calibri"/>
        </w:rPr>
      </w:r>
    </w:p>
    <w:p>
      <w:pPr>
        <w:pStyle w:val="Standard"/>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Si riporta, di seguito, una tabella di dettaglio dei contributi anno 2025:</w:t>
      </w:r>
    </w:p>
    <w:p>
      <w:pPr>
        <w:pStyle w:val="Standard"/>
        <w:widowControl w:val="false"/>
        <w:jc w:val="both"/>
        <w:rPr>
          <w:rFonts w:ascii="Calibri" w:hAnsi="Calibri" w:cs="Calibri" w:asciiTheme="minorHAnsi" w:cstheme="minorHAnsi" w:hAnsiTheme="minorHAnsi"/>
          <w:kern w:val="0"/>
          <w:lang w:eastAsia="it-IT"/>
        </w:rPr>
      </w:pPr>
      <w:r>
        <w:fldChar w:fldCharType="begin"/>
      </w:r>
      <w:r>
        <w:rPr>
          <w:rFonts w:ascii="Calibri" w:hAnsi="Calibri"/>
        </w:rPr>
        <w:instrText xml:space="preserve">LINK Excel.Sheet.12 "F:\\DA COPIARE\\SDS VALDICHIANA\\TABELLE NOTA INTEGRATIVA2025_08.06.26.xlsx" "conto economico !R12C1:R70C2" \a \f 4 \h  \* MERGEFORMAT</w:instrText>
      </w:r>
      <w:r>
        <w:rPr>
          <w:rFonts w:ascii="Calibri" w:hAnsi="Calibri"/>
        </w:rPr>
      </w:r>
      <w:r>
        <w:rPr>
          <w:rFonts w:ascii="Calibri" w:hAnsi="Calibri"/>
        </w:rPr>
        <w:fldChar w:fldCharType="separate"/>
      </w:r>
      <w:r/>
      <w:r>
        <w:rPr>
          <w:rFonts w:ascii="Calibri" w:hAnsi="Calibri"/>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7265"/>
        <w:gridCol w:w="2211"/>
        <w:gridCol w:w="162"/>
      </w:tblGrid>
      <w:tr>
        <w:trPr>
          <w:tblHeader w:val="true"/>
          <w:trHeight w:val="244" w:hRule="atLeast"/>
        </w:trPr>
        <w:tc>
          <w:tcPr>
            <w:tcW w:w="7265" w:type="dxa"/>
            <w:vMerge w:val="restart"/>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CONTRIBUTI</w:t>
            </w:r>
          </w:p>
        </w:tc>
        <w:tc>
          <w:tcPr>
            <w:tcW w:w="2211" w:type="dxa"/>
            <w:vMerge w:val="restart"/>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 Contributi 2025</w:t>
            </w:r>
          </w:p>
        </w:tc>
        <w:tc>
          <w:tcPr>
            <w:tcW w:w="162" w:type="dxa"/>
            <w:tcBorders/>
          </w:tcPr>
          <w:p>
            <w:pPr>
              <w:pStyle w:val="Normal"/>
              <w:widowControl w:val="false"/>
              <w:rPr/>
            </w:pPr>
            <w:r>
              <w:rPr/>
            </w:r>
          </w:p>
        </w:tc>
      </w:tr>
      <w:tr>
        <w:trPr>
          <w:tblHeader w:val="true"/>
          <w:trHeight w:val="20" w:hRule="atLeast"/>
        </w:trPr>
        <w:tc>
          <w:tcPr>
            <w:tcW w:w="726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cstheme="minorHAnsi" w:ascii="Calibri" w:hAnsi="Calibri"/>
                <w:b/>
                <w:bCs/>
                <w:color w:val="000000"/>
                <w:lang w:eastAsia="it-IT"/>
              </w:rPr>
            </w:r>
          </w:p>
        </w:tc>
        <w:tc>
          <w:tcPr>
            <w:tcW w:w="22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cstheme="minorHAnsi" w:ascii="Calibri" w:hAnsi="Calibri"/>
                <w:b/>
                <w:bCs/>
                <w:color w:val="000000"/>
                <w:lang w:eastAsia="it-IT"/>
              </w:rPr>
            </w:r>
          </w:p>
        </w:tc>
        <w:tc>
          <w:tcPr>
            <w:tcW w:w="162" w:type="dxa"/>
            <w:tcBorders/>
            <w:vAlign w:val="bottom"/>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cstheme="minorHAnsi" w:ascii="Calibri" w:hAnsi="Calibri"/>
                <w:b/>
                <w:bCs/>
                <w:color w:val="000000"/>
                <w:lang w:eastAsia="it-IT"/>
              </w:rPr>
            </w:r>
          </w:p>
        </w:tc>
      </w:tr>
      <w:tr>
        <w:trPr>
          <w:tblHeader w:val="true"/>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Finanziamenti Regione Toscana</w:t>
            </w:r>
          </w:p>
        </w:tc>
        <w:tc>
          <w:tcPr>
            <w:tcW w:w="2211"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RT Politiche per la famiglia Fondi Famiglia 2023 Dgr 158 del 20/02/2023</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11.168</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RT "Trasporto persone fragili dgr n. 1497 del 09/12/2024  e DD. 1454 DEL 22/01/2025" - ANNUALITA' 2025</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12.134</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FNA 2025 - TRASFERIMENTO FIN. REG.LE FNA  ANNO 2025  - DGRT N.1363 DEL 18/11/2024</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1.361.399</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FNA 2025 RISORSE AGGIUNTIVE D.D. 18148 DEL 14/08/2025 - DGR N. 1291/2025</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63.793</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Contributo G.R.T. per gravissime disabilita' Dgrt  1071 del 11/09/2023 DD. 21999 del 10/10/2023 anno 2023</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322.404</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FNA PER GRAVISSIME DISABILITA' DGRT n. 1186 del 21/10/2024 SENESE FNA ANNO 2024 - DD. 24497 del 29/10/2024 anno 2024</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284.795</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Fna Risors statali “Servizi sociali di sollievo-pronto badante” Dgr 292 del 20/03/2023 e DD. 6133 del 21/003/2023 ANNO 2024 (2° annualita’)</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43.470</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AUTONOMIA E IND. InAuto FNA 2022 - DD. 15621 DEL 11/07/2023 - DGRT 759/2024</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69.266</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PROGETTO DISABILITA’ DOPO DI NOI DGRT N. 508 DEL 22/04/2024 E DD. 16220 DEL 11/07/2024 e DD. N. 28151 DEL 17/12/2024 - dd. 1936 DEL 29/01/2025</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73.009</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RT "Con Noi e Dopo di Noi" Amiata e Valdichiana Dgrt 623 del 18/05/2020 e DD. 21479 del 02/12/2020</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37.786</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RT "Con Noi e Dopo di Noi" Amiata e Valdichiana Dgrt 539 del 17/05/2021 e DD. 23317 del 30/12/2021 – DD. 5681 del 16/03/2023</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26.029</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RT "Con Noi e Dopo di Noi" Amiata e Valdichiana Dgrt 515/22 e DD. 26050 del 29/12/2022</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21.202</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RT "Con Noi e Dopo di Noi" Amiata e Valdichiana Dgr n. 368 del 03/04/2023 annualità 2022 e DD. 27527 del 21/12/2023 annualità 2022</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44.198</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RT Fondo Caregiver Dgrt 126 del 05/03/2024  DD. 14522 del 19/06/24 anno 2024</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18.300</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PRNA 2022-2024 consolidamento e capacitazione degli ambiti territoriali DD. 17233 del 03/08/2023-ANNUALITA' 2024</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26.388</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PRNA 2022-2024 consolidamento e capacitazione degli ambiti territoriali DD. 17233 del 03/08/2023 - ANNUALITA' 2023</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57.377</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Piano regionale per la prev. Cura e riabilitazione dei disturbi correlati alla dipendenza del gioco d’azzardo DD. 16945 del 18/07/2024</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36.853</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2023 RIASSEGNAZIONE DD. 5924 DEL 17/03/2025</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978</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2024 RIASSEGNAZIONE  DGRT 798 DEL 16/06/2025 DD.  DEL - QUOTA ORDINARIA</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404.660</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2025 DGRT 899 del 30/06/2025 annualita’ 2025 – Quota ordinaria</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394.889</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FNA 2024 - TRASFERIMENTO FIN. REG.LE FNA  ANNO 2024  - DGRT N.1577 DEL 18/12/2023 + FONDI STATALI R.T.</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410</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VITA INDIPENDENTE 2024 - TRASFERIMENTO FIN. REG.LE FNA  ANNO 2024  - DGRT N.1577 DEL 18/12/2023 (ASL)</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39.335</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VITA INDIPENDENTE "VITA M.I.A."  PROG. DI SOSTEGNO ALLA VITA IND. E INCLUSIONE NELLA SOCIETA' PRFSE+2021-2027</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330.498</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VITA INDIPENDENTE "VITA M.I.A."  PROG. DI SOSTEGNO ALLA VITA IND. E INCLUSIONE NELLA SOCIETA' PRFSE+2021-2027 - DD 20946 DEL 13/09/24 - ANNUALITA' 2025</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74.515</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2023 DGR 1317 DEL 13/11/2023 - DD. 20815 DEL 12/09/2024  DIMISSIONI PROTETTE annualita’ 2023</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1.365</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2022 Dgr 1358 del 28/11/2022 e DD. 15215 del 05/07/2023 Dim.Protette Annualita’ 2022</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15.141</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2022 Dgr 1358 del 28/11/2022 e DD. 15215 del 05/07/2023 RESIDUO PIPPI 2022</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24.912</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2022 Dgr 1358 del 28/11/2022 e DD. 15215 del 05/07/2023 programma Pippi</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2480</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Fnps 2021 Dgr 304 del 14/03/2022 e DD. 17878 del 05/09/2022 DIMISSIONI PROTETTE E SUPERVISIONE</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15.208</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Contributo G.R.T. per FNPS 2022 - progetto Pippi area minori Dgr n. 244 del 15/03/2021 e DD. 10530 del 11/06/2021</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3.409</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RT Politiche per la famiglia  Fondi Famiglia 2023 Dgr 158 del 20/02/2023</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17.832</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PROGRAMMI ANTIVIOLENZA  DD. 27521 DEL 28/11/2024 –  ANNO 2024</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14.680</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Prog. RT antiviolenza DD. 25357 DEL 24/11/2023 ANNUALITA' 2024</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9.545</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Interventi di sostegno alle cure domiciliari – approvazione progetti DGR n. 4891 del 29/02/2024</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136.508</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DD 12541 del 06/06/2024 -PR FSE 2021-2027 ATTIVITA' PAD "INCLUSIONE ATTIVA E MIGLIORAMENTO DELL'OCCUPABILITA' DI PERSONE IN CARICO AI SERVIZI SOCIO-SANITARI TERRITORIALI - SVANTAGGIATI " -  APPROVAZIONE AVVISO PUBBLICO "INTERVENTI DI ACCOMPAGNAMENTO AL LAVORO PER PERSONE IN CONDIZIONI DI FGRAGILITA'" - ANNI 2024-2025-2026 - ANNUALITA' 2024</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2.526</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PR FSE 2021-2027 Realizz. Prog. Di rafforzamento della capacità istit. E di animazione - interventi d'inclusione sociale DD. 12262 del 28/05/2025 - PROGETTO HELP - ANNUALITA' 2025</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16.986</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 Contributi Regionali</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4.015.446</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2211" w:type="dxa"/>
            <w:tcBorders>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Contributi Comuni Consorziati</w:t>
            </w:r>
          </w:p>
        </w:tc>
        <w:tc>
          <w:tcPr>
            <w:tcW w:w="2211"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Comuni quote 2025</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1.809.121</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Comuni quote servizi delegati per ass. domiciliare anno 2025</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309.497</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Contributi da Comuni per pot. Servizi delegati - comp. RSA e CD anno 2025</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298.542</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Contributi per sprese sostenute per rette dei minori inseriti in comunità con provvedimento del giudice</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24.245</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 Comuni Consorziati</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2.441.405</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2211" w:type="dxa"/>
            <w:tcBorders>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Contributi altri Enti</w:t>
            </w:r>
          </w:p>
        </w:tc>
        <w:tc>
          <w:tcPr>
            <w:tcW w:w="2211"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sz w:val="18"/>
                <w:szCs w:val="18"/>
                <w:lang w:eastAsia="it-IT"/>
              </w:rPr>
            </w:pPr>
            <w:r>
              <w:rPr>
                <w:rFonts w:cs="Calibri" w:ascii="Calibri" w:hAnsi="Calibri" w:asciiTheme="minorHAnsi" w:cstheme="minorHAnsi" w:hAnsiTheme="minorHAnsi"/>
                <w:color w:val="000000"/>
                <w:sz w:val="18"/>
                <w:szCs w:val="18"/>
                <w:lang w:eastAsia="it-IT"/>
              </w:rPr>
              <w:t>Ministero del Lavoro prog. Fondo Povertà Decreto Ministeriale n. 1870 del 03 marzo 2022 QSFP Anno 2021</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312.674</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sz w:val="18"/>
                <w:szCs w:val="18"/>
                <w:lang w:eastAsia="it-IT"/>
              </w:rPr>
            </w:pPr>
            <w:r>
              <w:rPr>
                <w:rFonts w:cs="Calibri" w:ascii="Calibri" w:hAnsi="Calibri" w:asciiTheme="minorHAnsi" w:cstheme="minorHAnsi" w:hAnsiTheme="minorHAnsi"/>
                <w:sz w:val="18"/>
                <w:szCs w:val="18"/>
                <w:lang w:eastAsia="it-IT"/>
              </w:rPr>
              <w:t>Ministero del Lavoro prog. Fondo Povertà Decreto Ministeriale n. 429 del 14 dicembre 2023 QSFP Anno 2022</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233.602</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sz w:val="18"/>
                <w:szCs w:val="18"/>
                <w:lang w:eastAsia="it-IT"/>
              </w:rPr>
            </w:pPr>
            <w:r>
              <w:rPr>
                <w:rFonts w:cs="Calibri" w:ascii="Calibri" w:hAnsi="Calibri" w:asciiTheme="minorHAnsi" w:cstheme="minorHAnsi" w:hAnsiTheme="minorHAnsi"/>
                <w:color w:val="000000"/>
                <w:sz w:val="18"/>
                <w:szCs w:val="18"/>
                <w:lang w:eastAsia="it-IT"/>
              </w:rPr>
              <w:t>Ministero del lavoro e politiche sociali - assunzione ass. sociale 2024</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180.501</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sz w:val="18"/>
                <w:szCs w:val="18"/>
                <w:lang w:eastAsia="it-IT"/>
              </w:rPr>
            </w:pPr>
            <w:r>
              <w:rPr>
                <w:rFonts w:cs="Calibri" w:ascii="Calibri" w:hAnsi="Calibri" w:asciiTheme="minorHAnsi" w:cstheme="minorHAnsi" w:hAnsiTheme="minorHAnsi"/>
                <w:sz w:val="18"/>
                <w:szCs w:val="18"/>
                <w:lang w:eastAsia="it-IT"/>
              </w:rPr>
              <w:t>Prefettura di Siena – minori stranieri non accompagnati</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67.127</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 Contributi da Altri Enti</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793.905</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Contributi da privati</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Contributo Fondazione MPS</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115.000</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 Contributi da privati</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115.000</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r>
        <w:trPr>
          <w:trHeight w:val="20" w:hRule="atLeast"/>
        </w:trPr>
        <w:tc>
          <w:tcPr>
            <w:tcW w:w="726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c>
          <w:tcPr>
            <w:tcW w:w="22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7.365.755</w:t>
            </w:r>
          </w:p>
        </w:tc>
        <w:tc>
          <w:tcPr>
            <w:tcW w:w="162" w:type="dxa"/>
            <w:tcBorders/>
            <w:vAlign w:val="center"/>
          </w:tcPr>
          <w:p>
            <w:pPr>
              <w:pStyle w:val="Normal"/>
              <w:widowControl w:val="false"/>
              <w:suppressAutoHyphens w:val="false"/>
              <w:rPr>
                <w:rFonts w:ascii="Calibri" w:hAnsi="Calibri" w:cs="Calibri" w:asciiTheme="minorHAnsi" w:cstheme="minorHAnsi" w:hAnsiTheme="minorHAnsi"/>
                <w:lang w:eastAsia="it-IT"/>
              </w:rPr>
            </w:pPr>
            <w:r>
              <w:rPr>
                <w:rFonts w:cs="Calibri" w:cstheme="minorHAnsi" w:ascii="Calibri" w:hAnsi="Calibri"/>
                <w:lang w:eastAsia="it-IT"/>
              </w:rPr>
            </w:r>
          </w:p>
        </w:tc>
      </w:tr>
    </w:tbl>
    <w:p>
      <w:pPr>
        <w:pStyle w:val="Standard"/>
        <w:widowControl w:val="false"/>
        <w:jc w:val="both"/>
        <w:rPr>
          <w:rFonts w:ascii="Calibri" w:hAnsi="Calibri" w:cs="Calibri" w:asciiTheme="minorHAnsi" w:cstheme="minorHAnsi" w:hAnsiTheme="minorHAnsi"/>
          <w:sz w:val="22"/>
          <w:szCs w:val="22"/>
        </w:rPr>
      </w:pPr>
      <w:r/>
      <w:r>
        <w:rPr>
          <w:rFonts w:ascii="Calibri" w:hAnsi="Calibri"/>
        </w:rPr>
        <w:fldChar w:fldCharType="end"/>
      </w:r>
      <w:r>
        <w:rPr>
          <w:rFonts w:ascii="Calibri" w:hAnsi="Calibri"/>
        </w:rPr>
      </w:r>
    </w:p>
    <w:p>
      <w:pPr>
        <w:pStyle w:val="Standard"/>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Standard"/>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L'importo dei contributi in c/esercizio pari a 7.365.755 € è di seguito dettagliato:</w:t>
      </w:r>
    </w:p>
    <w:p>
      <w:pPr>
        <w:pStyle w:val="Standard"/>
        <w:widowControl w:val="false"/>
        <w:numPr>
          <w:ilvl w:val="0"/>
          <w:numId w:val="3"/>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i contributi da Regione Toscana, pari a </w:t>
      </w:r>
      <w:r>
        <w:rPr>
          <w:rFonts w:cs="Calibri" w:ascii="Calibri" w:hAnsi="Calibri" w:asciiTheme="minorHAnsi" w:cstheme="minorHAnsi" w:hAnsiTheme="minorHAnsi"/>
          <w:bCs/>
          <w:sz w:val="22"/>
          <w:szCs w:val="22"/>
          <w:lang w:eastAsia="it-IT"/>
        </w:rPr>
        <w:t>4.015.446</w:t>
      </w:r>
      <w:r>
        <w:rPr>
          <w:rFonts w:cs="Calibri" w:ascii="Calibri" w:hAnsi="Calibri" w:asciiTheme="minorHAnsi" w:cstheme="minorHAnsi" w:hAnsiTheme="minorHAnsi"/>
          <w:sz w:val="22"/>
          <w:szCs w:val="22"/>
        </w:rPr>
        <w:t>€, sono rappresentati dai contributi ricevuti nell’anno 2025 per progetti di interesse della SDS, dai contributi di anni precedenti utilizzati nell’anno in corso per la realizzazione delle attività programmate e dall’anticipo delle somme relative alla quota ordinaria del FNPS 2025 – assegnazione 2026;</w:t>
      </w:r>
    </w:p>
    <w:p>
      <w:pPr>
        <w:pStyle w:val="Normal"/>
        <w:widowControl w:val="false"/>
        <w:numPr>
          <w:ilvl w:val="0"/>
          <w:numId w:val="3"/>
        </w:numPr>
        <w:jc w:val="both"/>
        <w:rPr>
          <w:rFonts w:ascii="Calibri" w:hAnsi="Calibri" w:cs="Calibri" w:asciiTheme="minorHAnsi" w:cstheme="minorHAnsi" w:hAnsiTheme="minorHAnsi"/>
          <w:kern w:val="2"/>
          <w:sz w:val="22"/>
          <w:szCs w:val="22"/>
        </w:rPr>
      </w:pPr>
      <w:r>
        <w:rPr>
          <w:rFonts w:cs="Calibri" w:ascii="Calibri" w:hAnsi="Calibri" w:asciiTheme="minorHAnsi" w:cstheme="minorHAnsi" w:hAnsiTheme="minorHAnsi"/>
          <w:kern w:val="2"/>
          <w:sz w:val="22"/>
          <w:szCs w:val="22"/>
        </w:rPr>
        <w:t>i contributi da parte dei Comuni pari a 2.441.405€, si riferiscono alle quote per i servizi sociali e servizi delegati trasferite dai comuni consorziati ai sensi della delibera Delib. Di Giunta Esecutiva n. 27 del 12.12.2025, delib. Assemblea dei Soci n. 4 del 23.07.25 e Delib. Ass. Soci n. 10 del 30.12.2025</w:t>
      </w:r>
    </w:p>
    <w:p>
      <w:pPr>
        <w:pStyle w:val="Normal"/>
        <w:widowControl w:val="false"/>
        <w:numPr>
          <w:ilvl w:val="0"/>
          <w:numId w:val="3"/>
        </w:numPr>
        <w:jc w:val="both"/>
        <w:rPr>
          <w:rFonts w:ascii="Calibri" w:hAnsi="Calibri" w:cs="Calibri" w:asciiTheme="minorHAnsi" w:cstheme="minorHAnsi" w:hAnsiTheme="minorHAnsi"/>
          <w:kern w:val="2"/>
          <w:sz w:val="22"/>
          <w:szCs w:val="22"/>
        </w:rPr>
      </w:pPr>
      <w:r>
        <w:rPr>
          <w:rFonts w:cs="Calibri" w:ascii="Calibri" w:hAnsi="Calibri" w:asciiTheme="minorHAnsi" w:cstheme="minorHAnsi" w:hAnsiTheme="minorHAnsi"/>
          <w:kern w:val="2"/>
          <w:sz w:val="22"/>
          <w:szCs w:val="22"/>
        </w:rPr>
        <w:t xml:space="preserve"> </w:t>
      </w:r>
      <w:r>
        <w:rPr>
          <w:rFonts w:cs="Calibri" w:ascii="Calibri" w:hAnsi="Calibri" w:asciiTheme="minorHAnsi" w:cstheme="minorHAnsi" w:hAnsiTheme="minorHAnsi"/>
          <w:kern w:val="2"/>
          <w:sz w:val="22"/>
          <w:szCs w:val="22"/>
        </w:rPr>
        <w:t>e dalle compartecipazioni sociali in Rsa e Centri diurni, oltre che dei residui dei contributi degli anni precedenti.</w:t>
      </w:r>
    </w:p>
    <w:p>
      <w:pPr>
        <w:pStyle w:val="Normal"/>
        <w:widowControl w:val="false"/>
        <w:numPr>
          <w:ilvl w:val="0"/>
          <w:numId w:val="3"/>
        </w:numPr>
        <w:jc w:val="both"/>
        <w:rPr>
          <w:rFonts w:ascii="Calibri" w:hAnsi="Calibri" w:cs="Calibri" w:asciiTheme="minorHAnsi" w:cstheme="minorHAnsi" w:hAnsiTheme="minorHAnsi"/>
          <w:kern w:val="2"/>
          <w:sz w:val="22"/>
          <w:szCs w:val="22"/>
        </w:rPr>
      </w:pPr>
      <w:r>
        <w:rPr>
          <w:rFonts w:cs="Calibri" w:ascii="Calibri" w:hAnsi="Calibri" w:asciiTheme="minorHAnsi" w:cstheme="minorHAnsi" w:hAnsiTheme="minorHAnsi"/>
          <w:kern w:val="2"/>
          <w:sz w:val="22"/>
          <w:szCs w:val="22"/>
        </w:rPr>
        <w:t>i contributi da altri enti, pari a 793.905€, si riferiscono ai contributi per la realizzazione di progetti ministeriali relativi al fondo povertà, oltre che a contributi dalla Prefettura di Siena;</w:t>
      </w:r>
    </w:p>
    <w:p>
      <w:pPr>
        <w:pStyle w:val="Normal"/>
        <w:widowControl w:val="false"/>
        <w:numPr>
          <w:ilvl w:val="0"/>
          <w:numId w:val="3"/>
        </w:numPr>
        <w:jc w:val="both"/>
        <w:rPr>
          <w:rFonts w:ascii="Calibri" w:hAnsi="Calibri" w:cs="Calibri" w:asciiTheme="minorHAnsi" w:cstheme="minorHAnsi" w:hAnsiTheme="minorHAnsi"/>
          <w:kern w:val="2"/>
          <w:sz w:val="22"/>
          <w:szCs w:val="22"/>
        </w:rPr>
      </w:pPr>
      <w:r>
        <w:rPr>
          <w:rFonts w:cs="Calibri" w:ascii="Calibri" w:hAnsi="Calibri" w:asciiTheme="minorHAnsi" w:cstheme="minorHAnsi" w:hAnsiTheme="minorHAnsi"/>
          <w:kern w:val="2"/>
          <w:sz w:val="22"/>
          <w:szCs w:val="22"/>
        </w:rPr>
        <w:t>i contributi da privati si riferiscono al contributo da parte della Fondazione Monte dei Paschi di Siena pari a 115.000€ di cui al Protocollo di Intesa approvato con delib Giunta Esecutiva n. 26 del 29 10 2025</w:t>
      </w:r>
    </w:p>
    <w:p>
      <w:pPr>
        <w:pStyle w:val="Normal"/>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Standard"/>
        <w:widowControl w:val="false"/>
        <w:jc w:val="both"/>
        <w:rPr>
          <w:rFonts w:ascii="Calibri" w:hAnsi="Calibri" w:cs="Calibri" w:asciiTheme="minorHAnsi" w:cstheme="minorHAnsi" w:hAnsiTheme="minorHAnsi"/>
          <w:bCs/>
          <w:sz w:val="22"/>
          <w:szCs w:val="22"/>
        </w:rPr>
      </w:pPr>
      <w:r>
        <w:rPr>
          <w:rFonts w:cs="Calibri" w:ascii="Calibri" w:hAnsi="Calibri" w:asciiTheme="minorHAnsi" w:cstheme="minorHAnsi" w:hAnsiTheme="minorHAnsi"/>
          <w:bCs/>
          <w:sz w:val="22"/>
          <w:szCs w:val="22"/>
        </w:rPr>
        <w:t xml:space="preserve">Si dettagliano, altresì, i contributi ricevuti dai singoli comuni consorziati per lo svolgimento delle attività della SDS. </w:t>
      </w:r>
    </w:p>
    <w:p>
      <w:pPr>
        <w:pStyle w:val="Normal"/>
        <w:widowControl w:val="false"/>
        <w:jc w:val="both"/>
        <w:rPr>
          <w:rFonts w:ascii="Calibri" w:hAnsi="Calibri" w:cs="Calibri" w:asciiTheme="minorHAnsi" w:cstheme="minorHAnsi" w:hAnsiTheme="minorHAnsi"/>
          <w:lang w:eastAsia="it-IT"/>
        </w:rPr>
      </w:pPr>
      <w:r>
        <w:fldChar w:fldCharType="begin"/>
      </w:r>
      <w:r>
        <w:rPr>
          <w:rFonts w:ascii="Calibri" w:hAnsi="Calibri"/>
        </w:rPr>
        <w:instrText xml:space="preserve">LINK Excel.Sheet.12 "F:\\DA COPIARE\\SDS VALDICHIANA\\TABELLE NOTA INTEGRATIVA2025_08.06.26.xlsx" "conto economico !R73C1:R90C4" \a \f 4 \h  \* MERGEFORMAT</w:instrText>
      </w:r>
      <w:r>
        <w:rPr>
          <w:rFonts w:ascii="Calibri" w:hAnsi="Calibri"/>
        </w:rPr>
      </w:r>
      <w:r>
        <w:rPr>
          <w:rFonts w:ascii="Calibri" w:hAnsi="Calibri"/>
        </w:rPr>
        <w:fldChar w:fldCharType="separate"/>
      </w:r>
      <w:r/>
      <w:r>
        <w:rPr>
          <w:rFonts w:ascii="Calibri" w:hAnsi="Calibri"/>
        </w:rPr>
      </w:r>
    </w:p>
    <w:tbl>
      <w:tblPr>
        <w:tblW w:w="9371" w:type="dxa"/>
        <w:jc w:val="left"/>
        <w:tblInd w:w="135" w:type="dxa"/>
        <w:tblLayout w:type="fixed"/>
        <w:tblCellMar>
          <w:top w:w="0" w:type="dxa"/>
          <w:left w:w="70" w:type="dxa"/>
          <w:bottom w:w="0" w:type="dxa"/>
          <w:right w:w="70" w:type="dxa"/>
        </w:tblCellMar>
        <w:tblLook w:firstRow="1" w:noVBand="1" w:lastRow="0" w:firstColumn="1" w:lastColumn="0" w:noHBand="0" w:val="04a0"/>
      </w:tblPr>
      <w:tblGrid>
        <w:gridCol w:w="2875"/>
        <w:gridCol w:w="2101"/>
        <w:gridCol w:w="2268"/>
        <w:gridCol w:w="2126"/>
      </w:tblGrid>
      <w:tr>
        <w:trPr>
          <w:tblHeader w:val="true"/>
          <w:trHeight w:val="227" w:hRule="atLeast"/>
        </w:trPr>
        <w:tc>
          <w:tcPr>
            <w:tcW w:w="9370" w:type="dxa"/>
            <w:gridSpan w:val="4"/>
            <w:tcBorders>
              <w:top w:val="single" w:sz="8" w:space="0" w:color="000000"/>
              <w:left w:val="single" w:sz="8" w:space="0" w:color="000000"/>
              <w:right w:val="single" w:sz="8"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DETTAGLIO CONTRIBUTI DA COMUNI</w:t>
            </w:r>
          </w:p>
        </w:tc>
      </w:tr>
      <w:tr>
        <w:trPr>
          <w:tblHeader w:val="true"/>
          <w:trHeight w:val="227" w:hRule="atLeast"/>
        </w:trPr>
        <w:tc>
          <w:tcPr>
            <w:tcW w:w="2875" w:type="dxa"/>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Descrizione</w:t>
            </w:r>
          </w:p>
        </w:tc>
        <w:tc>
          <w:tcPr>
            <w:tcW w:w="2101" w:type="dxa"/>
            <w:tcBorders>
              <w:top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Gestione sociale</w:t>
            </w:r>
          </w:p>
        </w:tc>
        <w:tc>
          <w:tcPr>
            <w:tcW w:w="2268" w:type="dxa"/>
            <w:tcBorders>
              <w:top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Trasferimenti correnti</w:t>
            </w:r>
          </w:p>
        </w:tc>
        <w:tc>
          <w:tcPr>
            <w:tcW w:w="2126" w:type="dxa"/>
            <w:tcBorders>
              <w:top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Totale</w:t>
            </w:r>
          </w:p>
        </w:tc>
      </w:tr>
      <w:tr>
        <w:trPr>
          <w:trHeight w:val="227" w:hRule="atLeast"/>
        </w:trPr>
        <w:tc>
          <w:tcPr>
            <w:tcW w:w="287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Comune di Abbadia San Salvatore</w:t>
            </w:r>
          </w:p>
        </w:tc>
        <w:tc>
          <w:tcPr>
            <w:tcW w:w="21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221.185</w:t>
            </w:r>
          </w:p>
        </w:tc>
        <w:tc>
          <w:tcPr>
            <w:tcW w:w="226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5.123</w:t>
            </w:r>
          </w:p>
        </w:tc>
        <w:tc>
          <w:tcPr>
            <w:tcW w:w="212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226.308</w:t>
            </w:r>
          </w:p>
        </w:tc>
      </w:tr>
      <w:tr>
        <w:trPr>
          <w:trHeight w:val="227" w:hRule="atLeast"/>
        </w:trPr>
        <w:tc>
          <w:tcPr>
            <w:tcW w:w="287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Comune di Castiglione d'Orcia</w:t>
            </w:r>
          </w:p>
        </w:tc>
        <w:tc>
          <w:tcPr>
            <w:tcW w:w="21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61.223</w:t>
            </w:r>
          </w:p>
        </w:tc>
        <w:tc>
          <w:tcPr>
            <w:tcW w:w="226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c>
          <w:tcPr>
            <w:tcW w:w="212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61.223</w:t>
            </w:r>
          </w:p>
        </w:tc>
      </w:tr>
      <w:tr>
        <w:trPr>
          <w:trHeight w:val="227" w:hRule="atLeast"/>
        </w:trPr>
        <w:tc>
          <w:tcPr>
            <w:tcW w:w="287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Comune di Cetona</w:t>
            </w:r>
          </w:p>
        </w:tc>
        <w:tc>
          <w:tcPr>
            <w:tcW w:w="21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52.053</w:t>
            </w:r>
          </w:p>
        </w:tc>
        <w:tc>
          <w:tcPr>
            <w:tcW w:w="226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31.809</w:t>
            </w:r>
          </w:p>
        </w:tc>
        <w:tc>
          <w:tcPr>
            <w:tcW w:w="212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83.861</w:t>
            </w:r>
          </w:p>
        </w:tc>
      </w:tr>
      <w:tr>
        <w:trPr>
          <w:trHeight w:val="227" w:hRule="atLeast"/>
        </w:trPr>
        <w:tc>
          <w:tcPr>
            <w:tcW w:w="287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Comune di Chianciano Terme</w:t>
            </w:r>
          </w:p>
        </w:tc>
        <w:tc>
          <w:tcPr>
            <w:tcW w:w="21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145.162</w:t>
            </w:r>
          </w:p>
        </w:tc>
        <w:tc>
          <w:tcPr>
            <w:tcW w:w="226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87.812</w:t>
            </w:r>
          </w:p>
        </w:tc>
        <w:tc>
          <w:tcPr>
            <w:tcW w:w="212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232.974</w:t>
            </w:r>
          </w:p>
        </w:tc>
      </w:tr>
      <w:tr>
        <w:trPr>
          <w:trHeight w:val="227" w:hRule="atLeast"/>
        </w:trPr>
        <w:tc>
          <w:tcPr>
            <w:tcW w:w="287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Comune di Chiusi</w:t>
            </w:r>
          </w:p>
        </w:tc>
        <w:tc>
          <w:tcPr>
            <w:tcW w:w="21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169.132</w:t>
            </w:r>
          </w:p>
        </w:tc>
        <w:tc>
          <w:tcPr>
            <w:tcW w:w="226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105.067</w:t>
            </w:r>
          </w:p>
        </w:tc>
        <w:tc>
          <w:tcPr>
            <w:tcW w:w="212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274.199</w:t>
            </w:r>
          </w:p>
        </w:tc>
      </w:tr>
      <w:tr>
        <w:trPr>
          <w:trHeight w:val="227" w:hRule="atLeast"/>
        </w:trPr>
        <w:tc>
          <w:tcPr>
            <w:tcW w:w="287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Comune di Montepulciano</w:t>
            </w:r>
          </w:p>
        </w:tc>
        <w:tc>
          <w:tcPr>
            <w:tcW w:w="21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276.227</w:t>
            </w:r>
          </w:p>
        </w:tc>
        <w:tc>
          <w:tcPr>
            <w:tcW w:w="226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151.826</w:t>
            </w:r>
          </w:p>
        </w:tc>
        <w:tc>
          <w:tcPr>
            <w:tcW w:w="212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428.053</w:t>
            </w:r>
          </w:p>
        </w:tc>
      </w:tr>
      <w:tr>
        <w:trPr>
          <w:trHeight w:val="227" w:hRule="atLeast"/>
        </w:trPr>
        <w:tc>
          <w:tcPr>
            <w:tcW w:w="287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Comune di Piancastagnaio</w:t>
            </w:r>
          </w:p>
        </w:tc>
        <w:tc>
          <w:tcPr>
            <w:tcW w:w="21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167.255</w:t>
            </w:r>
          </w:p>
        </w:tc>
        <w:tc>
          <w:tcPr>
            <w:tcW w:w="226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c>
          <w:tcPr>
            <w:tcW w:w="212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167.255</w:t>
            </w:r>
          </w:p>
        </w:tc>
      </w:tr>
      <w:tr>
        <w:trPr>
          <w:trHeight w:val="227" w:hRule="atLeast"/>
        </w:trPr>
        <w:tc>
          <w:tcPr>
            <w:tcW w:w="287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Comune di Pienza</w:t>
            </w:r>
          </w:p>
        </w:tc>
        <w:tc>
          <w:tcPr>
            <w:tcW w:w="21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41.239</w:t>
            </w:r>
          </w:p>
        </w:tc>
        <w:tc>
          <w:tcPr>
            <w:tcW w:w="226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5.591</w:t>
            </w:r>
          </w:p>
        </w:tc>
        <w:tc>
          <w:tcPr>
            <w:tcW w:w="212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46.829</w:t>
            </w:r>
          </w:p>
        </w:tc>
      </w:tr>
      <w:tr>
        <w:trPr>
          <w:trHeight w:val="227" w:hRule="atLeast"/>
        </w:trPr>
        <w:tc>
          <w:tcPr>
            <w:tcW w:w="287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Comune di Radicofani</w:t>
            </w:r>
          </w:p>
        </w:tc>
        <w:tc>
          <w:tcPr>
            <w:tcW w:w="21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27.314</w:t>
            </w:r>
          </w:p>
        </w:tc>
        <w:tc>
          <w:tcPr>
            <w:tcW w:w="226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c>
          <w:tcPr>
            <w:tcW w:w="212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27.314</w:t>
            </w:r>
          </w:p>
        </w:tc>
      </w:tr>
      <w:tr>
        <w:trPr>
          <w:trHeight w:val="227" w:hRule="atLeast"/>
        </w:trPr>
        <w:tc>
          <w:tcPr>
            <w:tcW w:w="287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Comune di San Casciano Bagni</w:t>
            </w:r>
          </w:p>
        </w:tc>
        <w:tc>
          <w:tcPr>
            <w:tcW w:w="21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31.193</w:t>
            </w:r>
          </w:p>
        </w:tc>
        <w:tc>
          <w:tcPr>
            <w:tcW w:w="226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12.666</w:t>
            </w:r>
          </w:p>
        </w:tc>
        <w:tc>
          <w:tcPr>
            <w:tcW w:w="212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43.859</w:t>
            </w:r>
          </w:p>
        </w:tc>
      </w:tr>
      <w:tr>
        <w:trPr>
          <w:trHeight w:val="227" w:hRule="atLeast"/>
        </w:trPr>
        <w:tc>
          <w:tcPr>
            <w:tcW w:w="287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Comune di San Quirico</w:t>
            </w:r>
          </w:p>
        </w:tc>
        <w:tc>
          <w:tcPr>
            <w:tcW w:w="21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101.423</w:t>
            </w:r>
          </w:p>
        </w:tc>
        <w:tc>
          <w:tcPr>
            <w:tcW w:w="226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45</w:t>
            </w:r>
          </w:p>
        </w:tc>
        <w:tc>
          <w:tcPr>
            <w:tcW w:w="212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101.469</w:t>
            </w:r>
          </w:p>
        </w:tc>
      </w:tr>
      <w:tr>
        <w:trPr>
          <w:trHeight w:val="227" w:hRule="atLeast"/>
        </w:trPr>
        <w:tc>
          <w:tcPr>
            <w:tcW w:w="287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Comune di Sarteano</w:t>
            </w:r>
          </w:p>
        </w:tc>
        <w:tc>
          <w:tcPr>
            <w:tcW w:w="21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94.034</w:t>
            </w:r>
          </w:p>
        </w:tc>
        <w:tc>
          <w:tcPr>
            <w:tcW w:w="226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49.558</w:t>
            </w:r>
          </w:p>
        </w:tc>
        <w:tc>
          <w:tcPr>
            <w:tcW w:w="212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143.592</w:t>
            </w:r>
          </w:p>
        </w:tc>
      </w:tr>
      <w:tr>
        <w:trPr>
          <w:trHeight w:val="227" w:hRule="atLeast"/>
        </w:trPr>
        <w:tc>
          <w:tcPr>
            <w:tcW w:w="287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Comune di Sinalunga</w:t>
            </w:r>
          </w:p>
        </w:tc>
        <w:tc>
          <w:tcPr>
            <w:tcW w:w="21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252.023</w:t>
            </w:r>
          </w:p>
        </w:tc>
        <w:tc>
          <w:tcPr>
            <w:tcW w:w="226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83.140</w:t>
            </w:r>
          </w:p>
        </w:tc>
        <w:tc>
          <w:tcPr>
            <w:tcW w:w="212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335.163</w:t>
            </w:r>
          </w:p>
        </w:tc>
      </w:tr>
      <w:tr>
        <w:trPr>
          <w:trHeight w:val="227" w:hRule="atLeast"/>
        </w:trPr>
        <w:tc>
          <w:tcPr>
            <w:tcW w:w="287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Comune di Torrita di Siena</w:t>
            </w:r>
          </w:p>
        </w:tc>
        <w:tc>
          <w:tcPr>
            <w:tcW w:w="21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145.406</w:t>
            </w:r>
          </w:p>
        </w:tc>
        <w:tc>
          <w:tcPr>
            <w:tcW w:w="226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87.879</w:t>
            </w:r>
          </w:p>
        </w:tc>
        <w:tc>
          <w:tcPr>
            <w:tcW w:w="212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233.285</w:t>
            </w:r>
          </w:p>
        </w:tc>
      </w:tr>
      <w:tr>
        <w:trPr>
          <w:trHeight w:val="227" w:hRule="atLeast"/>
        </w:trPr>
        <w:tc>
          <w:tcPr>
            <w:tcW w:w="287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Comune di Trequanda</w:t>
            </w:r>
          </w:p>
        </w:tc>
        <w:tc>
          <w:tcPr>
            <w:tcW w:w="21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24.253</w:t>
            </w:r>
          </w:p>
        </w:tc>
        <w:tc>
          <w:tcPr>
            <w:tcW w:w="226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11.768</w:t>
            </w:r>
          </w:p>
        </w:tc>
        <w:tc>
          <w:tcPr>
            <w:tcW w:w="212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36.021</w:t>
            </w:r>
          </w:p>
        </w:tc>
      </w:tr>
      <w:tr>
        <w:trPr>
          <w:trHeight w:val="227" w:hRule="atLeast"/>
        </w:trPr>
        <w:tc>
          <w:tcPr>
            <w:tcW w:w="2875"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 contributi da comuni</w:t>
            </w:r>
          </w:p>
        </w:tc>
        <w:tc>
          <w:tcPr>
            <w:tcW w:w="21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1.809.121</w:t>
            </w:r>
          </w:p>
        </w:tc>
        <w:tc>
          <w:tcPr>
            <w:tcW w:w="226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632.284</w:t>
            </w:r>
          </w:p>
        </w:tc>
        <w:tc>
          <w:tcPr>
            <w:tcW w:w="212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2.441.405</w:t>
            </w:r>
          </w:p>
        </w:tc>
      </w:tr>
    </w:tbl>
    <w:p>
      <w:pPr>
        <w:pStyle w:val="Normal"/>
        <w:widowControl w:val="false"/>
        <w:jc w:val="both"/>
        <w:rPr>
          <w:rFonts w:ascii="Calibri" w:hAnsi="Calibri" w:cs="Calibri" w:asciiTheme="minorHAnsi" w:cstheme="minorHAnsi" w:hAnsiTheme="minorHAnsi"/>
          <w:sz w:val="22"/>
          <w:szCs w:val="22"/>
        </w:rPr>
      </w:pPr>
      <w:r/>
      <w:r>
        <w:rPr>
          <w:rFonts w:ascii="Calibri" w:hAnsi="Calibri"/>
        </w:rPr>
        <w:fldChar w:fldCharType="end"/>
      </w:r>
      <w:r>
        <w:rPr>
          <w:rFonts w:ascii="Calibri" w:hAnsi="Calibri"/>
        </w:rPr>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Non sono stati rilevati proventi e ricavi diversi.</w:t>
      </w:r>
    </w:p>
    <w:p>
      <w:pPr>
        <w:pStyle w:val="Normal"/>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 Concorsi, recuperi e rimborsi per un totale di 221.929€ comprendono le voci elencate nella seguente tabella.</w:t>
      </w:r>
    </w:p>
    <w:p>
      <w:pPr>
        <w:pStyle w:val="Normal"/>
        <w:rPr>
          <w:rFonts w:ascii="Calibri" w:hAnsi="Calibri" w:cs="Calibri" w:asciiTheme="minorHAnsi" w:cstheme="minorHAnsi" w:hAnsiTheme="minorHAnsi"/>
          <w:lang w:eastAsia="it-IT"/>
        </w:rPr>
      </w:pPr>
      <w:r>
        <w:fldChar w:fldCharType="begin"/>
      </w:r>
      <w:r>
        <w:rPr>
          <w:rFonts w:ascii="Calibri" w:hAnsi="Calibri"/>
        </w:rPr>
        <w:instrText xml:space="preserve">LINK Excel.Sheet.12 "F:\\DA COPIARE\\SDS VALDICHIANA\\TABELLE NOTA INTEGRATIVA2025_08.06.26.xlsx" "conto economico !R93C1:R108C4" \a \f 4 \h  \* MERGEFORMAT</w:instrText>
      </w:r>
      <w:r>
        <w:rPr>
          <w:rFonts w:ascii="Calibri" w:hAnsi="Calibri"/>
        </w:rPr>
      </w:r>
      <w:r>
        <w:rPr>
          <w:rFonts w:ascii="Calibri" w:hAnsi="Calibri"/>
        </w:rPr>
        <w:fldChar w:fldCharType="separate"/>
      </w:r>
      <w:r/>
      <w:r>
        <w:rPr>
          <w:rFonts w:ascii="Calibri" w:hAnsi="Calibri"/>
        </w:rPr>
      </w:r>
    </w:p>
    <w:tbl>
      <w:tblPr>
        <w:tblW w:w="9558" w:type="dxa"/>
        <w:jc w:val="left"/>
        <w:tblInd w:w="145" w:type="dxa"/>
        <w:tblLayout w:type="fixed"/>
        <w:tblCellMar>
          <w:top w:w="0" w:type="dxa"/>
          <w:left w:w="70" w:type="dxa"/>
          <w:bottom w:w="0" w:type="dxa"/>
          <w:right w:w="70" w:type="dxa"/>
        </w:tblCellMar>
        <w:tblLook w:firstRow="1" w:noVBand="1" w:lastRow="0" w:firstColumn="1" w:lastColumn="0" w:noHBand="0" w:val="04a0"/>
      </w:tblPr>
      <w:tblGrid>
        <w:gridCol w:w="2899"/>
        <w:gridCol w:w="2130"/>
        <w:gridCol w:w="2128"/>
        <w:gridCol w:w="2400"/>
      </w:tblGrid>
      <w:tr>
        <w:trPr>
          <w:trHeight w:val="57" w:hRule="atLeast"/>
        </w:trPr>
        <w:tc>
          <w:tcPr>
            <w:tcW w:w="9557" w:type="dxa"/>
            <w:gridSpan w:val="4"/>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ALTRI RICORSI RECUPERI E RIMBORSI</w:t>
            </w:r>
          </w:p>
        </w:tc>
      </w:tr>
      <w:tr>
        <w:trPr>
          <w:trHeight w:val="57" w:hRule="atLeast"/>
        </w:trPr>
        <w:tc>
          <w:tcPr>
            <w:tcW w:w="2899" w:type="dxa"/>
            <w:tcBorders>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Descrizione</w:t>
            </w:r>
          </w:p>
        </w:tc>
        <w:tc>
          <w:tcPr>
            <w:tcW w:w="2130"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31/12/2025</w:t>
            </w:r>
          </w:p>
        </w:tc>
        <w:tc>
          <w:tcPr>
            <w:tcW w:w="2128"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31/12/2024</w:t>
            </w:r>
          </w:p>
        </w:tc>
        <w:tc>
          <w:tcPr>
            <w:tcW w:w="2400"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Variazione</w:t>
            </w:r>
          </w:p>
        </w:tc>
      </w:tr>
      <w:tr>
        <w:trPr>
          <w:trHeight w:val="57" w:hRule="atLeast"/>
        </w:trPr>
        <w:tc>
          <w:tcPr>
            <w:tcW w:w="2899"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Compartecipazione costi gestione diretta unitaria da convenzione ASL TSE</w:t>
            </w:r>
          </w:p>
        </w:tc>
        <w:tc>
          <w:tcPr>
            <w:tcW w:w="213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209.694</w:t>
            </w:r>
          </w:p>
        </w:tc>
        <w:tc>
          <w:tcPr>
            <w:tcW w:w="212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240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209.694</w:t>
            </w:r>
          </w:p>
        </w:tc>
      </w:tr>
      <w:tr>
        <w:trPr>
          <w:trHeight w:val="57" w:hRule="atLeast"/>
        </w:trPr>
        <w:tc>
          <w:tcPr>
            <w:tcW w:w="2899"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Rimborsi spese</w:t>
            </w:r>
          </w:p>
        </w:tc>
        <w:tc>
          <w:tcPr>
            <w:tcW w:w="213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5.268</w:t>
            </w:r>
          </w:p>
        </w:tc>
        <w:tc>
          <w:tcPr>
            <w:tcW w:w="212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3.242</w:t>
            </w:r>
          </w:p>
        </w:tc>
        <w:tc>
          <w:tcPr>
            <w:tcW w:w="240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2.026</w:t>
            </w:r>
          </w:p>
        </w:tc>
      </w:tr>
      <w:tr>
        <w:trPr>
          <w:trHeight w:val="57" w:hRule="atLeast"/>
        </w:trPr>
        <w:tc>
          <w:tcPr>
            <w:tcW w:w="2899"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Altri concorsi, recuperi e rimborsi</w:t>
            </w:r>
          </w:p>
        </w:tc>
        <w:tc>
          <w:tcPr>
            <w:tcW w:w="213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6.967</w:t>
            </w:r>
          </w:p>
        </w:tc>
        <w:tc>
          <w:tcPr>
            <w:tcW w:w="212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240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6.967</w:t>
            </w:r>
          </w:p>
        </w:tc>
      </w:tr>
      <w:tr>
        <w:trPr>
          <w:trHeight w:val="57" w:hRule="atLeast"/>
        </w:trPr>
        <w:tc>
          <w:tcPr>
            <w:tcW w:w="2899"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Rimborsi Inail personale dipendente</w:t>
            </w:r>
          </w:p>
        </w:tc>
        <w:tc>
          <w:tcPr>
            <w:tcW w:w="213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212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1.214</w:t>
            </w:r>
          </w:p>
        </w:tc>
        <w:tc>
          <w:tcPr>
            <w:tcW w:w="240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-1.214</w:t>
            </w:r>
          </w:p>
        </w:tc>
      </w:tr>
      <w:tr>
        <w:trPr>
          <w:trHeight w:val="57" w:hRule="atLeast"/>
        </w:trPr>
        <w:tc>
          <w:tcPr>
            <w:tcW w:w="2899"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Bolli su fatture attive</w:t>
            </w:r>
          </w:p>
        </w:tc>
        <w:tc>
          <w:tcPr>
            <w:tcW w:w="213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212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w:t>
            </w:r>
          </w:p>
        </w:tc>
        <w:tc>
          <w:tcPr>
            <w:tcW w:w="240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w:t>
            </w:r>
          </w:p>
        </w:tc>
      </w:tr>
      <w:tr>
        <w:trPr>
          <w:trHeight w:val="57" w:hRule="atLeast"/>
        </w:trPr>
        <w:tc>
          <w:tcPr>
            <w:tcW w:w="2899"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Sopravvenienze attive altri trasferimenti sociali</w:t>
            </w:r>
          </w:p>
        </w:tc>
        <w:tc>
          <w:tcPr>
            <w:tcW w:w="213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212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10.981</w:t>
            </w:r>
          </w:p>
        </w:tc>
        <w:tc>
          <w:tcPr>
            <w:tcW w:w="240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-10.981</w:t>
            </w:r>
          </w:p>
        </w:tc>
      </w:tr>
      <w:tr>
        <w:trPr>
          <w:trHeight w:val="57" w:hRule="atLeast"/>
        </w:trPr>
        <w:tc>
          <w:tcPr>
            <w:tcW w:w="2899"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Insussistenze attive</w:t>
            </w:r>
          </w:p>
        </w:tc>
        <w:tc>
          <w:tcPr>
            <w:tcW w:w="213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212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1.847</w:t>
            </w:r>
          </w:p>
        </w:tc>
        <w:tc>
          <w:tcPr>
            <w:tcW w:w="240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-1.847</w:t>
            </w:r>
          </w:p>
        </w:tc>
      </w:tr>
      <w:tr>
        <w:trPr>
          <w:trHeight w:val="57" w:hRule="atLeast"/>
        </w:trPr>
        <w:tc>
          <w:tcPr>
            <w:tcW w:w="2899"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Arrotondamenti attivi</w:t>
            </w:r>
          </w:p>
        </w:tc>
        <w:tc>
          <w:tcPr>
            <w:tcW w:w="213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212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w:t>
            </w:r>
          </w:p>
        </w:tc>
        <w:tc>
          <w:tcPr>
            <w:tcW w:w="240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w:t>
            </w:r>
          </w:p>
        </w:tc>
      </w:tr>
      <w:tr>
        <w:trPr>
          <w:trHeight w:val="57" w:hRule="atLeast"/>
        </w:trPr>
        <w:tc>
          <w:tcPr>
            <w:tcW w:w="2899" w:type="dxa"/>
            <w:tcBorders>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c>
          <w:tcPr>
            <w:tcW w:w="213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221.929</w:t>
            </w:r>
          </w:p>
        </w:tc>
        <w:tc>
          <w:tcPr>
            <w:tcW w:w="212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17.289</w:t>
            </w:r>
          </w:p>
        </w:tc>
        <w:tc>
          <w:tcPr>
            <w:tcW w:w="2400"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204.640</w:t>
            </w:r>
          </w:p>
        </w:tc>
      </w:tr>
    </w:tbl>
    <w:p>
      <w:pPr>
        <w:pStyle w:val="Normal"/>
        <w:rPr>
          <w:rFonts w:ascii="Calibri" w:hAnsi="Calibri" w:cs="Calibri" w:asciiTheme="minorHAnsi" w:cstheme="minorHAnsi" w:hAnsiTheme="minorHAnsi"/>
          <w:sz w:val="22"/>
          <w:szCs w:val="22"/>
        </w:rPr>
      </w:pPr>
      <w:r/>
      <w:r>
        <w:rPr>
          <w:rFonts w:ascii="Calibri" w:hAnsi="Calibri"/>
        </w:rPr>
        <w:fldChar w:fldCharType="end"/>
      </w:r>
      <w:r>
        <w:rPr>
          <w:rFonts w:ascii="Calibri" w:hAnsi="Calibri"/>
        </w:rPr>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Altri ricavi e proventi per un totale di €. 461.075€ comprendono le compartecipazioni dei privati per i trasporti sociali e assistenza domiciliare.</w:t>
      </w:r>
    </w:p>
    <w:p>
      <w:pPr>
        <w:pStyle w:val="Normal"/>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lang w:eastAsia="it-IT"/>
        </w:rPr>
      </w:pPr>
      <w:r>
        <w:fldChar w:fldCharType="begin"/>
      </w:r>
      <w:r>
        <w:rPr>
          <w:rFonts w:ascii="Calibri" w:hAnsi="Calibri"/>
        </w:rPr>
        <w:instrText xml:space="preserve">LINK Excel.Sheet.12 "F:\\DA COPIARE\\SDS VALDICHIANA\\TABELLE NOTA INTEGRATIVA2025_08.06.26.xlsx" "conto economico !R111C1:R120C4" \a \f 4 \h  \* MERGEFORMAT</w:instrText>
      </w:r>
      <w:r>
        <w:rPr>
          <w:rFonts w:ascii="Calibri" w:hAnsi="Calibri"/>
        </w:rPr>
      </w:r>
      <w:r>
        <w:rPr>
          <w:rFonts w:ascii="Calibri" w:hAnsi="Calibri"/>
        </w:rPr>
        <w:fldChar w:fldCharType="separate"/>
      </w:r>
      <w:r/>
      <w:r>
        <w:rPr>
          <w:rFonts w:ascii="Calibri" w:hAnsi="Calibri"/>
        </w:rPr>
      </w:r>
    </w:p>
    <w:tbl>
      <w:tblPr>
        <w:tblW w:w="9498" w:type="dxa"/>
        <w:jc w:val="left"/>
        <w:tblInd w:w="145" w:type="dxa"/>
        <w:tblLayout w:type="fixed"/>
        <w:tblCellMar>
          <w:top w:w="0" w:type="dxa"/>
          <w:left w:w="70" w:type="dxa"/>
          <w:bottom w:w="0" w:type="dxa"/>
          <w:right w:w="70" w:type="dxa"/>
        </w:tblCellMar>
        <w:tblLook w:firstRow="1" w:noVBand="1" w:lastRow="0" w:firstColumn="1" w:lastColumn="0" w:noHBand="0" w:val="04a0"/>
      </w:tblPr>
      <w:tblGrid>
        <w:gridCol w:w="4677"/>
        <w:gridCol w:w="1701"/>
        <w:gridCol w:w="1418"/>
        <w:gridCol w:w="1701"/>
      </w:tblGrid>
      <w:tr>
        <w:trPr>
          <w:trHeight w:val="300" w:hRule="atLeast"/>
        </w:trPr>
        <w:tc>
          <w:tcPr>
            <w:tcW w:w="9497" w:type="dxa"/>
            <w:gridSpan w:val="4"/>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ALTRI RICAVI E PROVENTI</w:t>
            </w:r>
          </w:p>
        </w:tc>
      </w:tr>
      <w:tr>
        <w:trPr>
          <w:trHeight w:val="300" w:hRule="atLeast"/>
        </w:trPr>
        <w:tc>
          <w:tcPr>
            <w:tcW w:w="4677" w:type="dxa"/>
            <w:tcBorders>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Descrizione</w:t>
            </w:r>
          </w:p>
        </w:tc>
        <w:tc>
          <w:tcPr>
            <w:tcW w:w="1701"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31/12/2025</w:t>
            </w:r>
          </w:p>
        </w:tc>
        <w:tc>
          <w:tcPr>
            <w:tcW w:w="1418"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31/12/2024</w:t>
            </w:r>
          </w:p>
        </w:tc>
        <w:tc>
          <w:tcPr>
            <w:tcW w:w="1701"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Variazione</w:t>
            </w:r>
          </w:p>
        </w:tc>
      </w:tr>
      <w:tr>
        <w:trPr>
          <w:trHeight w:val="300" w:hRule="atLeast"/>
        </w:trPr>
        <w:tc>
          <w:tcPr>
            <w:tcW w:w="467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Compartecipazioni per trasporti sociali</w:t>
            </w:r>
          </w:p>
        </w:tc>
        <w:tc>
          <w:tcPr>
            <w:tcW w:w="17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25.124</w:t>
            </w:r>
          </w:p>
        </w:tc>
        <w:tc>
          <w:tcPr>
            <w:tcW w:w="141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18.853</w:t>
            </w:r>
          </w:p>
        </w:tc>
        <w:tc>
          <w:tcPr>
            <w:tcW w:w="17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6.271</w:t>
            </w:r>
          </w:p>
        </w:tc>
      </w:tr>
      <w:tr>
        <w:trPr>
          <w:trHeight w:val="300" w:hRule="atLeast"/>
        </w:trPr>
        <w:tc>
          <w:tcPr>
            <w:tcW w:w="467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Compartecipazione per assistenza domiciliare</w:t>
            </w:r>
          </w:p>
        </w:tc>
        <w:tc>
          <w:tcPr>
            <w:tcW w:w="17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112.374</w:t>
            </w:r>
          </w:p>
        </w:tc>
        <w:tc>
          <w:tcPr>
            <w:tcW w:w="141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780</w:t>
            </w:r>
          </w:p>
        </w:tc>
        <w:tc>
          <w:tcPr>
            <w:tcW w:w="17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111.594</w:t>
            </w:r>
          </w:p>
        </w:tc>
      </w:tr>
      <w:tr>
        <w:trPr>
          <w:trHeight w:val="300" w:hRule="atLeast"/>
        </w:trPr>
        <w:tc>
          <w:tcPr>
            <w:tcW w:w="4677" w:type="dxa"/>
            <w:tcBorders>
              <w:left w:val="single" w:sz="4" w:space="0" w:color="000000"/>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color w:val="000000"/>
                <w:sz w:val="22"/>
                <w:szCs w:val="22"/>
                <w:lang w:eastAsia="it-IT"/>
              </w:rPr>
            </w:pPr>
            <w:r>
              <w:rPr>
                <w:rFonts w:cs="Calibri" w:ascii="Calibri" w:hAnsi="Calibri" w:asciiTheme="minorHAnsi" w:cstheme="minorHAnsi" w:hAnsiTheme="minorHAnsi"/>
                <w:color w:val="000000"/>
                <w:sz w:val="22"/>
                <w:szCs w:val="22"/>
                <w:lang w:eastAsia="it-IT"/>
              </w:rPr>
              <w:t>Compartecipazioni per rette anziani autosufficienti</w:t>
            </w:r>
          </w:p>
        </w:tc>
        <w:tc>
          <w:tcPr>
            <w:tcW w:w="17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227.638</w:t>
            </w:r>
          </w:p>
        </w:tc>
        <w:tc>
          <w:tcPr>
            <w:tcW w:w="141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7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227.638</w:t>
            </w:r>
          </w:p>
        </w:tc>
      </w:tr>
      <w:tr>
        <w:trPr>
          <w:trHeight w:val="300" w:hRule="atLeast"/>
        </w:trPr>
        <w:tc>
          <w:tcPr>
            <w:tcW w:w="4677" w:type="dxa"/>
            <w:tcBorders>
              <w:left w:val="single" w:sz="4" w:space="0" w:color="000000"/>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color w:val="000000"/>
                <w:sz w:val="22"/>
                <w:szCs w:val="22"/>
                <w:lang w:eastAsia="it-IT"/>
              </w:rPr>
            </w:pPr>
            <w:r>
              <w:rPr>
                <w:rFonts w:cs="Calibri" w:ascii="Calibri" w:hAnsi="Calibri" w:asciiTheme="minorHAnsi" w:cstheme="minorHAnsi" w:hAnsiTheme="minorHAnsi"/>
                <w:color w:val="000000"/>
                <w:sz w:val="22"/>
                <w:szCs w:val="22"/>
                <w:lang w:eastAsia="it-IT"/>
              </w:rPr>
              <w:t>Compartecipazione a rette minori</w:t>
            </w:r>
          </w:p>
        </w:tc>
        <w:tc>
          <w:tcPr>
            <w:tcW w:w="17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7.713</w:t>
            </w:r>
          </w:p>
        </w:tc>
        <w:tc>
          <w:tcPr>
            <w:tcW w:w="141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7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7.713</w:t>
            </w:r>
          </w:p>
        </w:tc>
      </w:tr>
      <w:tr>
        <w:trPr>
          <w:trHeight w:val="300" w:hRule="atLeast"/>
        </w:trPr>
        <w:tc>
          <w:tcPr>
            <w:tcW w:w="4677" w:type="dxa"/>
            <w:tcBorders>
              <w:left w:val="single" w:sz="4" w:space="0" w:color="000000"/>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color w:val="000000"/>
                <w:sz w:val="22"/>
                <w:szCs w:val="22"/>
                <w:lang w:eastAsia="it-IT"/>
              </w:rPr>
            </w:pPr>
            <w:r>
              <w:rPr>
                <w:rFonts w:cs="Calibri" w:ascii="Calibri" w:hAnsi="Calibri" w:asciiTheme="minorHAnsi" w:cstheme="minorHAnsi" w:hAnsiTheme="minorHAnsi"/>
                <w:color w:val="000000"/>
                <w:sz w:val="22"/>
                <w:szCs w:val="22"/>
                <w:lang w:eastAsia="it-IT"/>
              </w:rPr>
              <w:t>Compartecipazione a rette per disabilità</w:t>
            </w:r>
          </w:p>
        </w:tc>
        <w:tc>
          <w:tcPr>
            <w:tcW w:w="17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52.637</w:t>
            </w:r>
          </w:p>
        </w:tc>
        <w:tc>
          <w:tcPr>
            <w:tcW w:w="141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7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52.637</w:t>
            </w:r>
          </w:p>
        </w:tc>
      </w:tr>
      <w:tr>
        <w:trPr>
          <w:trHeight w:val="300" w:hRule="atLeast"/>
        </w:trPr>
        <w:tc>
          <w:tcPr>
            <w:tcW w:w="4677" w:type="dxa"/>
            <w:tcBorders>
              <w:left w:val="single" w:sz="4" w:space="0" w:color="000000"/>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color w:val="000000"/>
                <w:sz w:val="22"/>
                <w:szCs w:val="22"/>
                <w:lang w:eastAsia="it-IT"/>
              </w:rPr>
            </w:pPr>
            <w:r>
              <w:rPr>
                <w:rFonts w:cs="Calibri" w:ascii="Calibri" w:hAnsi="Calibri" w:asciiTheme="minorHAnsi" w:cstheme="minorHAnsi" w:hAnsiTheme="minorHAnsi"/>
                <w:color w:val="000000"/>
                <w:sz w:val="22"/>
                <w:szCs w:val="22"/>
                <w:lang w:eastAsia="it-IT"/>
              </w:rPr>
              <w:t>Compartecipazione pasti a domicilio</w:t>
            </w:r>
          </w:p>
        </w:tc>
        <w:tc>
          <w:tcPr>
            <w:tcW w:w="17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34.786</w:t>
            </w:r>
          </w:p>
        </w:tc>
        <w:tc>
          <w:tcPr>
            <w:tcW w:w="141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7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34.786</w:t>
            </w:r>
          </w:p>
        </w:tc>
      </w:tr>
      <w:tr>
        <w:trPr>
          <w:trHeight w:val="300" w:hRule="atLeast"/>
        </w:trPr>
        <w:tc>
          <w:tcPr>
            <w:tcW w:w="4677" w:type="dxa"/>
            <w:tcBorders>
              <w:left w:val="single" w:sz="4" w:space="0" w:color="000000"/>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sz w:val="22"/>
                <w:szCs w:val="22"/>
                <w:lang w:eastAsia="it-IT"/>
              </w:rPr>
            </w:pPr>
            <w:r>
              <w:rPr>
                <w:rFonts w:cs="Calibri" w:ascii="Calibri" w:hAnsi="Calibri" w:asciiTheme="minorHAnsi" w:cstheme="minorHAnsi" w:hAnsiTheme="minorHAnsi"/>
                <w:sz w:val="22"/>
                <w:szCs w:val="22"/>
                <w:lang w:eastAsia="it-IT"/>
              </w:rPr>
              <w:t>Sopravvenienze attive</w:t>
            </w:r>
          </w:p>
        </w:tc>
        <w:tc>
          <w:tcPr>
            <w:tcW w:w="17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803</w:t>
            </w:r>
          </w:p>
        </w:tc>
        <w:tc>
          <w:tcPr>
            <w:tcW w:w="141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7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803</w:t>
            </w:r>
          </w:p>
        </w:tc>
      </w:tr>
      <w:tr>
        <w:trPr>
          <w:trHeight w:val="300" w:hRule="atLeast"/>
        </w:trPr>
        <w:tc>
          <w:tcPr>
            <w:tcW w:w="4677" w:type="dxa"/>
            <w:tcBorders>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c>
          <w:tcPr>
            <w:tcW w:w="17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461.075</w:t>
            </w:r>
          </w:p>
        </w:tc>
        <w:tc>
          <w:tcPr>
            <w:tcW w:w="141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19.633</w:t>
            </w:r>
          </w:p>
        </w:tc>
        <w:tc>
          <w:tcPr>
            <w:tcW w:w="170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441.442</w:t>
            </w:r>
          </w:p>
        </w:tc>
      </w:tr>
    </w:tbl>
    <w:p>
      <w:pPr>
        <w:pStyle w:val="Normal"/>
        <w:rPr>
          <w:rFonts w:ascii="Calibri" w:hAnsi="Calibri" w:cs="Calibri" w:asciiTheme="minorHAnsi" w:cstheme="minorHAnsi" w:hAnsiTheme="minorHAnsi"/>
          <w:sz w:val="22"/>
          <w:szCs w:val="22"/>
        </w:rPr>
      </w:pPr>
      <w:r/>
      <w:r>
        <w:rPr>
          <w:rFonts w:ascii="Calibri" w:hAnsi="Calibri"/>
        </w:rPr>
        <w:fldChar w:fldCharType="end"/>
      </w:r>
      <w:r>
        <w:rPr>
          <w:rFonts w:ascii="Calibri" w:hAnsi="Calibri"/>
        </w:rPr>
      </w:r>
    </w:p>
    <w:p>
      <w:pPr>
        <w:pStyle w:val="Normal"/>
        <w:widowControl w:val="false"/>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widowControl w:val="false"/>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widowControl w:val="false"/>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Ulteriori informazioni</w:t>
      </w:r>
    </w:p>
    <w:p>
      <w:pPr>
        <w:pStyle w:val="Normal"/>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Standard"/>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Come previsto dalla Delibera della Giunta Regionale n. 1265 del 28/12/2009, di seguito si riportano i dati sintetici dei contributi in c/esercizio provenienti dal Fondo Sanitario assegnato dalla Azienda Sanitaria Locale e dalla Regione Toscana</w:t>
      </w:r>
    </w:p>
    <w:p>
      <w:pPr>
        <w:pStyle w:val="Standard"/>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tbl>
      <w:tblPr>
        <w:tblW w:w="4850" w:type="pct"/>
        <w:jc w:val="left"/>
        <w:tblInd w:w="113" w:type="dxa"/>
        <w:tblLayout w:type="fixed"/>
        <w:tblCellMar>
          <w:top w:w="0" w:type="dxa"/>
          <w:left w:w="108" w:type="dxa"/>
          <w:bottom w:w="0" w:type="dxa"/>
          <w:right w:w="108" w:type="dxa"/>
        </w:tblCellMar>
        <w:tblLook w:firstRow="1" w:noVBand="1" w:lastRow="0" w:firstColumn="1" w:lastColumn="0" w:noHBand="0" w:val="04a0"/>
      </w:tblPr>
      <w:tblGrid>
        <w:gridCol w:w="3463"/>
        <w:gridCol w:w="2110"/>
        <w:gridCol w:w="2006"/>
        <w:gridCol w:w="1768"/>
      </w:tblGrid>
      <w:tr>
        <w:trPr>
          <w:tblHeader w:val="true"/>
          <w:trHeight w:val="20" w:hRule="atLeast"/>
        </w:trPr>
        <w:tc>
          <w:tcPr>
            <w:tcW w:w="3463" w:type="dxa"/>
            <w:tcBorders>
              <w:top w:val="single" w:sz="4" w:space="0" w:color="000000"/>
              <w:left w:val="single" w:sz="4" w:space="0" w:color="000000"/>
              <w:bottom w:val="single" w:sz="4" w:space="0" w:color="000000"/>
              <w:right w:val="single" w:sz="4" w:space="0" w:color="000000"/>
            </w:tcBorders>
            <w:shd w:color="auto" w:fill="F2F2F2" w:val="clear"/>
          </w:tcPr>
          <w:p>
            <w:pPr>
              <w:pStyle w:val="Standard"/>
              <w:widowControl w:val="false"/>
              <w:jc w:val="center"/>
              <w:rPr>
                <w:rFonts w:ascii="Calibri" w:hAnsi="Calibri" w:cs="Calibri" w:asciiTheme="minorHAnsi" w:cstheme="minorHAnsi" w:hAnsiTheme="minorHAnsi"/>
                <w:b/>
                <w:bCs/>
                <w:i/>
                <w:i/>
                <w:iCs/>
              </w:rPr>
            </w:pPr>
            <w:r>
              <w:rPr>
                <w:rFonts w:cs="Calibri" w:ascii="Calibri" w:hAnsi="Calibri" w:asciiTheme="minorHAnsi" w:cstheme="minorHAnsi" w:hAnsiTheme="minorHAnsi"/>
                <w:b/>
                <w:bCs/>
                <w:i/>
                <w:iCs/>
              </w:rPr>
              <w:t>Descrizione</w:t>
            </w:r>
          </w:p>
        </w:tc>
        <w:tc>
          <w:tcPr>
            <w:tcW w:w="2110" w:type="dxa"/>
            <w:tcBorders>
              <w:top w:val="single" w:sz="4" w:space="0" w:color="000000"/>
              <w:left w:val="single" w:sz="4" w:space="0" w:color="000000"/>
              <w:bottom w:val="single" w:sz="4" w:space="0" w:color="000000"/>
              <w:right w:val="single" w:sz="4" w:space="0" w:color="000000"/>
            </w:tcBorders>
            <w:shd w:color="auto" w:fill="F2F2F2" w:val="clear"/>
          </w:tcPr>
          <w:p>
            <w:pPr>
              <w:pStyle w:val="Standard"/>
              <w:widowControl w:val="false"/>
              <w:jc w:val="center"/>
              <w:rPr>
                <w:rFonts w:ascii="Calibri" w:hAnsi="Calibri" w:cs="Calibri" w:asciiTheme="minorHAnsi" w:cstheme="minorHAnsi" w:hAnsiTheme="minorHAnsi"/>
                <w:b/>
                <w:bCs/>
                <w:i/>
                <w:i/>
                <w:iCs/>
              </w:rPr>
            </w:pPr>
            <w:r>
              <w:rPr>
                <w:rFonts w:cs="Calibri" w:ascii="Calibri" w:hAnsi="Calibri" w:asciiTheme="minorHAnsi" w:cstheme="minorHAnsi" w:hAnsiTheme="minorHAnsi"/>
                <w:b/>
                <w:bCs/>
                <w:i/>
                <w:iCs/>
              </w:rPr>
              <w:t>Fondo per la non autosufficienza quota sanitaria</w:t>
            </w:r>
          </w:p>
        </w:tc>
        <w:tc>
          <w:tcPr>
            <w:tcW w:w="2006" w:type="dxa"/>
            <w:tcBorders>
              <w:top w:val="single" w:sz="4" w:space="0" w:color="000000"/>
              <w:left w:val="single" w:sz="4" w:space="0" w:color="000000"/>
              <w:bottom w:val="single" w:sz="4" w:space="0" w:color="000000"/>
              <w:right w:val="single" w:sz="4" w:space="0" w:color="000000"/>
            </w:tcBorders>
            <w:shd w:color="auto" w:fill="F2F2F2" w:val="clear"/>
          </w:tcPr>
          <w:p>
            <w:pPr>
              <w:pStyle w:val="Standard"/>
              <w:widowControl w:val="false"/>
              <w:jc w:val="center"/>
              <w:rPr>
                <w:rFonts w:ascii="Calibri" w:hAnsi="Calibri" w:cs="Calibri" w:asciiTheme="minorHAnsi" w:cstheme="minorHAnsi" w:hAnsiTheme="minorHAnsi"/>
                <w:b/>
                <w:bCs/>
                <w:i/>
                <w:i/>
                <w:iCs/>
              </w:rPr>
            </w:pPr>
            <w:r>
              <w:rPr>
                <w:rFonts w:cs="Calibri" w:ascii="Calibri" w:hAnsi="Calibri" w:asciiTheme="minorHAnsi" w:cstheme="minorHAnsi" w:hAnsiTheme="minorHAnsi"/>
                <w:b/>
                <w:bCs/>
                <w:i/>
                <w:iCs/>
              </w:rPr>
              <w:t>Fondo sanitario extra Fondo non Autosufficienza</w:t>
            </w:r>
          </w:p>
        </w:tc>
        <w:tc>
          <w:tcPr>
            <w:tcW w:w="1768" w:type="dxa"/>
            <w:tcBorders>
              <w:top w:val="single" w:sz="4" w:space="0" w:color="000000"/>
              <w:left w:val="single" w:sz="4" w:space="0" w:color="000000"/>
              <w:bottom w:val="single" w:sz="4" w:space="0" w:color="000000"/>
              <w:right w:val="single" w:sz="4" w:space="0" w:color="000000"/>
            </w:tcBorders>
            <w:shd w:color="auto" w:fill="F2F2F2" w:val="clear"/>
          </w:tcPr>
          <w:p>
            <w:pPr>
              <w:pStyle w:val="Standard"/>
              <w:widowControl w:val="false"/>
              <w:jc w:val="center"/>
              <w:rPr>
                <w:rFonts w:ascii="Calibri" w:hAnsi="Calibri" w:cs="Calibri" w:asciiTheme="minorHAnsi" w:cstheme="minorHAnsi" w:hAnsiTheme="minorHAnsi"/>
                <w:b/>
                <w:bCs/>
                <w:i/>
                <w:i/>
                <w:iCs/>
              </w:rPr>
            </w:pPr>
            <w:r>
              <w:rPr>
                <w:rFonts w:cs="Calibri" w:ascii="Calibri" w:hAnsi="Calibri" w:asciiTheme="minorHAnsi" w:cstheme="minorHAnsi" w:hAnsiTheme="minorHAnsi"/>
                <w:b/>
                <w:bCs/>
                <w:i/>
                <w:iCs/>
              </w:rPr>
              <w:t>Totale</w:t>
            </w:r>
          </w:p>
        </w:tc>
      </w:tr>
      <w:tr>
        <w:trPr>
          <w:trHeight w:val="20" w:hRule="atLeast"/>
        </w:trPr>
        <w:tc>
          <w:tcPr>
            <w:tcW w:w="3463"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Ausl Consorziate</w:t>
            </w:r>
          </w:p>
        </w:tc>
        <w:tc>
          <w:tcPr>
            <w:tcW w:w="21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rPr>
            </w:pPr>
            <w:r>
              <w:rPr>
                <w:rFonts w:cs="Calibri" w:ascii="Calibri" w:hAnsi="Calibri" w:asciiTheme="minorHAnsi" w:cstheme="minorHAnsi" w:hAnsiTheme="minorHAnsi"/>
                <w:color w:val="000000"/>
              </w:rPr>
              <w:t>0</w:t>
            </w:r>
          </w:p>
        </w:tc>
        <w:tc>
          <w:tcPr>
            <w:tcW w:w="2006" w:type="dxa"/>
            <w:tcBorders>
              <w:top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rPr>
            </w:pPr>
            <w:r>
              <w:rPr>
                <w:rFonts w:cs="Calibri" w:ascii="Calibri" w:hAnsi="Calibri" w:asciiTheme="minorHAnsi" w:cstheme="minorHAnsi" w:hAnsiTheme="minorHAnsi"/>
                <w:color w:val="000000"/>
              </w:rPr>
              <w:t>0</w:t>
            </w:r>
          </w:p>
        </w:tc>
        <w:tc>
          <w:tcPr>
            <w:tcW w:w="1768" w:type="dxa"/>
            <w:tcBorders>
              <w:top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rPr>
            </w:pPr>
            <w:r>
              <w:rPr>
                <w:rFonts w:cs="Calibri" w:ascii="Calibri" w:hAnsi="Calibri" w:asciiTheme="minorHAnsi" w:cstheme="minorHAnsi" w:hAnsiTheme="minorHAnsi"/>
                <w:color w:val="000000"/>
              </w:rPr>
              <w:t>0</w:t>
            </w:r>
          </w:p>
        </w:tc>
      </w:tr>
      <w:tr>
        <w:trPr>
          <w:trHeight w:val="20" w:hRule="atLeast"/>
        </w:trPr>
        <w:tc>
          <w:tcPr>
            <w:tcW w:w="3463"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rPr>
            </w:pPr>
            <w:r>
              <w:rPr>
                <w:rFonts w:cs="Calibri" w:ascii="Calibri" w:hAnsi="Calibri" w:asciiTheme="minorHAnsi" w:cstheme="minorHAnsi" w:hAnsiTheme="minorHAnsi"/>
              </w:rPr>
              <w:t>Regione Toscana</w:t>
            </w:r>
          </w:p>
        </w:tc>
        <w:tc>
          <w:tcPr>
            <w:tcW w:w="2110"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jc w:val="right"/>
              <w:rPr>
                <w:rFonts w:ascii="Calibri" w:hAnsi="Calibri" w:cs="Calibri" w:asciiTheme="minorHAnsi" w:cstheme="minorHAnsi" w:hAnsiTheme="minorHAnsi"/>
              </w:rPr>
            </w:pPr>
            <w:r>
              <w:rPr>
                <w:rFonts w:cs="Calibri" w:ascii="Calibri" w:hAnsi="Calibri" w:asciiTheme="minorHAnsi" w:cstheme="minorHAnsi" w:hAnsiTheme="minorHAnsi"/>
                <w:color w:val="000000"/>
              </w:rPr>
              <w:t>0</w:t>
            </w:r>
          </w:p>
        </w:tc>
        <w:tc>
          <w:tcPr>
            <w:tcW w:w="2006" w:type="dxa"/>
            <w:tcBorders>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rPr>
            </w:pPr>
            <w:r>
              <w:rPr>
                <w:rFonts w:cs="Calibri" w:ascii="Calibri" w:hAnsi="Calibri" w:asciiTheme="minorHAnsi" w:cstheme="minorHAnsi" w:hAnsiTheme="minorHAnsi"/>
                <w:color w:val="000000"/>
              </w:rPr>
              <w:t>23.302</w:t>
            </w:r>
          </w:p>
        </w:tc>
        <w:tc>
          <w:tcPr>
            <w:tcW w:w="1768" w:type="dxa"/>
            <w:tcBorders>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rPr>
            </w:pPr>
            <w:r>
              <w:rPr>
                <w:rFonts w:cs="Calibri" w:ascii="Calibri" w:hAnsi="Calibri" w:asciiTheme="minorHAnsi" w:cstheme="minorHAnsi" w:hAnsiTheme="minorHAnsi"/>
                <w:color w:val="000000"/>
              </w:rPr>
              <w:t>23.302</w:t>
            </w:r>
          </w:p>
        </w:tc>
      </w:tr>
      <w:tr>
        <w:trPr>
          <w:trHeight w:val="20" w:hRule="atLeast"/>
        </w:trPr>
        <w:tc>
          <w:tcPr>
            <w:tcW w:w="3463"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Cs/>
              </w:rPr>
            </w:pPr>
            <w:r>
              <w:rPr>
                <w:rFonts w:cs="Calibri" w:ascii="Calibri" w:hAnsi="Calibri" w:asciiTheme="minorHAnsi" w:cstheme="minorHAnsi" w:hAnsiTheme="minorHAnsi"/>
                <w:b/>
                <w:bCs/>
              </w:rPr>
              <w:t>Totale</w:t>
            </w:r>
          </w:p>
        </w:tc>
        <w:tc>
          <w:tcPr>
            <w:tcW w:w="2110" w:type="dxa"/>
            <w:tcBorders>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bCs/>
              </w:rPr>
            </w:pPr>
            <w:r>
              <w:rPr>
                <w:rFonts w:cs="Calibri" w:ascii="Calibri" w:hAnsi="Calibri" w:asciiTheme="minorHAnsi" w:cstheme="minorHAnsi" w:hAnsiTheme="minorHAnsi"/>
                <w:b/>
                <w:bCs/>
                <w:color w:val="000000"/>
              </w:rPr>
              <w:t>0</w:t>
            </w:r>
          </w:p>
        </w:tc>
        <w:tc>
          <w:tcPr>
            <w:tcW w:w="2006" w:type="dxa"/>
            <w:tcBorders>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bCs/>
              </w:rPr>
            </w:pPr>
            <w:r>
              <w:rPr>
                <w:rFonts w:cs="Calibri" w:ascii="Calibri" w:hAnsi="Calibri" w:asciiTheme="minorHAnsi" w:cstheme="minorHAnsi" w:hAnsiTheme="minorHAnsi"/>
                <w:b/>
                <w:bCs/>
                <w:color w:val="000000"/>
              </w:rPr>
              <w:t>23.302</w:t>
            </w:r>
          </w:p>
        </w:tc>
        <w:tc>
          <w:tcPr>
            <w:tcW w:w="1768" w:type="dxa"/>
            <w:tcBorders>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bCs/>
              </w:rPr>
            </w:pPr>
            <w:r>
              <w:rPr>
                <w:rFonts w:cs="Calibri" w:ascii="Calibri" w:hAnsi="Calibri" w:asciiTheme="minorHAnsi" w:cstheme="minorHAnsi" w:hAnsiTheme="minorHAnsi"/>
                <w:b/>
                <w:bCs/>
                <w:color w:val="000000"/>
              </w:rPr>
              <w:t>23.302</w:t>
            </w:r>
          </w:p>
        </w:tc>
      </w:tr>
    </w:tbl>
    <w:p>
      <w:pPr>
        <w:pStyle w:val="Normal"/>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widowControl w:val="false"/>
        <w:jc w:val="both"/>
        <w:rPr>
          <w:rFonts w:ascii="Calibri" w:hAnsi="Calibri" w:cs="Calibri" w:asciiTheme="minorHAnsi" w:cstheme="minorHAnsi" w:hAnsiTheme="minorHAnsi"/>
          <w:lang w:eastAsia="it-IT"/>
        </w:rPr>
      </w:pPr>
      <w:r>
        <w:fldChar w:fldCharType="begin"/>
      </w:r>
      <w:r>
        <w:rPr>
          <w:rFonts w:ascii="Calibri" w:hAnsi="Calibri"/>
        </w:rPr>
        <w:instrText xml:space="preserve">LINK Excel.Sheet.12 "F:\\DA COPIARE\\SDS VALDICHIANA\\TABELLE NOTA INTEGRATIVA2025_08.06.26.xlsx" "FNA ulteriori info!R8C1:R13C5" \a \f 4 \h  \* MERGEFORMAT</w:instrText>
      </w:r>
      <w:r>
        <w:rPr>
          <w:rFonts w:ascii="Calibri" w:hAnsi="Calibri"/>
        </w:rPr>
      </w:r>
      <w:r>
        <w:rPr>
          <w:rFonts w:ascii="Calibri" w:hAnsi="Calibri"/>
        </w:rPr>
        <w:fldChar w:fldCharType="separate"/>
      </w:r>
      <w:r/>
      <w:r>
        <w:rPr>
          <w:rFonts w:ascii="Calibri" w:hAnsi="Calibri"/>
        </w:rPr>
      </w:r>
    </w:p>
    <w:tbl>
      <w:tblPr>
        <w:tblW w:w="9548" w:type="dxa"/>
        <w:jc w:val="left"/>
        <w:tblInd w:w="149" w:type="dxa"/>
        <w:tblLayout w:type="fixed"/>
        <w:tblCellMar>
          <w:top w:w="0" w:type="dxa"/>
          <w:left w:w="70" w:type="dxa"/>
          <w:bottom w:w="0" w:type="dxa"/>
          <w:right w:w="70" w:type="dxa"/>
        </w:tblCellMar>
        <w:tblLook w:firstRow="1" w:noVBand="1" w:lastRow="0" w:firstColumn="1" w:lastColumn="0" w:noHBand="0" w:val="04a0"/>
      </w:tblPr>
      <w:tblGrid>
        <w:gridCol w:w="4672"/>
        <w:gridCol w:w="1486"/>
        <w:gridCol w:w="1133"/>
        <w:gridCol w:w="1137"/>
        <w:gridCol w:w="1120"/>
      </w:tblGrid>
      <w:tr>
        <w:trPr>
          <w:tblHeader w:val="true"/>
          <w:trHeight w:val="20" w:hRule="atLeast"/>
        </w:trPr>
        <w:tc>
          <w:tcPr>
            <w:tcW w:w="4672" w:type="dxa"/>
            <w:tcBorders>
              <w:top w:val="single" w:sz="8" w:space="0" w:color="000000"/>
              <w:left w:val="single" w:sz="8" w:space="0" w:color="000000"/>
              <w:bottom w:val="single" w:sz="8" w:space="0" w:color="000000"/>
              <w:right w:val="single" w:sz="8"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Contributi fondo non autosufficienza, vita indipendente</w:t>
            </w:r>
          </w:p>
        </w:tc>
        <w:tc>
          <w:tcPr>
            <w:tcW w:w="1486" w:type="dxa"/>
            <w:tcBorders>
              <w:top w:val="single" w:sz="8" w:space="0" w:color="000000"/>
              <w:bottom w:val="single" w:sz="8" w:space="0" w:color="000000"/>
              <w:right w:val="single" w:sz="8"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Disponibilità 01/01/2025</w:t>
            </w:r>
          </w:p>
        </w:tc>
        <w:tc>
          <w:tcPr>
            <w:tcW w:w="1133" w:type="dxa"/>
            <w:tcBorders>
              <w:top w:val="single" w:sz="8" w:space="0" w:color="000000"/>
              <w:bottom w:val="single" w:sz="8" w:space="0" w:color="000000"/>
              <w:right w:val="single" w:sz="8"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Assegnato 2025</w:t>
            </w:r>
          </w:p>
        </w:tc>
        <w:tc>
          <w:tcPr>
            <w:tcW w:w="1137" w:type="dxa"/>
            <w:tcBorders>
              <w:top w:val="single" w:sz="8" w:space="0" w:color="000000"/>
              <w:bottom w:val="single" w:sz="8" w:space="0" w:color="000000"/>
              <w:right w:val="single" w:sz="8"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 xml:space="preserve"> </w:t>
            </w:r>
            <w:r>
              <w:rPr>
                <w:rFonts w:cs="Calibri" w:ascii="Calibri" w:hAnsi="Calibri" w:asciiTheme="minorHAnsi" w:cstheme="minorHAnsi" w:hAnsiTheme="minorHAnsi"/>
                <w:b/>
                <w:bCs/>
                <w:i/>
                <w:iCs/>
                <w:color w:val="000000"/>
                <w:lang w:eastAsia="it-IT"/>
              </w:rPr>
              <w:t>Utilizzo</w:t>
            </w:r>
          </w:p>
        </w:tc>
        <w:tc>
          <w:tcPr>
            <w:tcW w:w="1120" w:type="dxa"/>
            <w:tcBorders>
              <w:top w:val="single" w:sz="8" w:space="0" w:color="000000"/>
              <w:bottom w:val="single" w:sz="8" w:space="0" w:color="000000"/>
              <w:right w:val="single" w:sz="8"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Risconto passivo</w:t>
            </w:r>
          </w:p>
        </w:tc>
      </w:tr>
      <w:tr>
        <w:trPr>
          <w:trHeight w:val="20" w:hRule="atLeast"/>
        </w:trPr>
        <w:tc>
          <w:tcPr>
            <w:tcW w:w="4672"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lang w:eastAsia="it-IT"/>
              </w:rPr>
            </w:pPr>
            <w:r>
              <w:rPr>
                <w:rFonts w:cs="Calibri" w:ascii="Calibri" w:hAnsi="Calibri" w:asciiTheme="minorHAnsi" w:cstheme="minorHAnsi" w:hAnsiTheme="minorHAnsi"/>
                <w:lang w:eastAsia="it-IT"/>
              </w:rPr>
              <w:t>FNA 2025 - TRASFERIMENTO FIN. REG.LE FNA ANNO 2025  - DGRT N.1363 DEL 18/11/2024</w:t>
            </w:r>
          </w:p>
        </w:tc>
        <w:tc>
          <w:tcPr>
            <w:tcW w:w="1486"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133"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1.361.399</w:t>
            </w:r>
          </w:p>
        </w:tc>
        <w:tc>
          <w:tcPr>
            <w:tcW w:w="1137"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1.361.399</w:t>
            </w:r>
          </w:p>
        </w:tc>
        <w:tc>
          <w:tcPr>
            <w:tcW w:w="1120"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r>
      <w:tr>
        <w:trPr>
          <w:trHeight w:val="20" w:hRule="atLeast"/>
        </w:trPr>
        <w:tc>
          <w:tcPr>
            <w:tcW w:w="4672" w:type="dxa"/>
            <w:tcBorders>
              <w:left w:val="single" w:sz="4" w:space="0" w:color="000000"/>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lang w:eastAsia="it-IT"/>
              </w:rPr>
            </w:pPr>
            <w:r>
              <w:rPr>
                <w:rFonts w:cs="Calibri" w:ascii="Calibri" w:hAnsi="Calibri" w:asciiTheme="minorHAnsi" w:cstheme="minorHAnsi" w:hAnsiTheme="minorHAnsi"/>
                <w:lang w:eastAsia="it-IT"/>
              </w:rPr>
              <w:t>FNA 2025 RISORSE AGGIUNTIVE D.D. 18148 DEL 14/08/2025 - DGR N. 1291/2025</w:t>
            </w:r>
          </w:p>
        </w:tc>
        <w:tc>
          <w:tcPr>
            <w:tcW w:w="1486"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133"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63.793</w:t>
            </w:r>
          </w:p>
        </w:tc>
        <w:tc>
          <w:tcPr>
            <w:tcW w:w="1137"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63.793</w:t>
            </w:r>
          </w:p>
        </w:tc>
        <w:tc>
          <w:tcPr>
            <w:tcW w:w="1120"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r>
      <w:tr>
        <w:trPr>
          <w:trHeight w:val="20" w:hRule="atLeast"/>
        </w:trPr>
        <w:tc>
          <w:tcPr>
            <w:tcW w:w="4672" w:type="dxa"/>
            <w:tcBorders>
              <w:left w:val="single" w:sz="4" w:space="0" w:color="000000"/>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lang w:eastAsia="it-IT"/>
              </w:rPr>
            </w:pPr>
            <w:r>
              <w:rPr>
                <w:rFonts w:cs="Calibri" w:ascii="Calibri" w:hAnsi="Calibri" w:asciiTheme="minorHAnsi" w:cstheme="minorHAnsi" w:hAnsiTheme="minorHAnsi"/>
                <w:lang w:eastAsia="it-IT"/>
              </w:rPr>
              <w:t>FNA 2024 - TRASFERIMENTO FIN. REG.LE FNA  ANNO 2024  - DGRT N.1577 DEL 18/12/2023 + FONDI STATALI R.T.</w:t>
            </w:r>
          </w:p>
        </w:tc>
        <w:tc>
          <w:tcPr>
            <w:tcW w:w="1486"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410</w:t>
            </w:r>
          </w:p>
        </w:tc>
        <w:tc>
          <w:tcPr>
            <w:tcW w:w="1133"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137"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410</w:t>
            </w:r>
          </w:p>
        </w:tc>
        <w:tc>
          <w:tcPr>
            <w:tcW w:w="1120"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r>
      <w:tr>
        <w:trPr>
          <w:trHeight w:val="20" w:hRule="atLeast"/>
        </w:trPr>
        <w:tc>
          <w:tcPr>
            <w:tcW w:w="4672" w:type="dxa"/>
            <w:tcBorders>
              <w:left w:val="single" w:sz="4" w:space="0" w:color="000000"/>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lang w:eastAsia="it-IT"/>
              </w:rPr>
            </w:pPr>
            <w:r>
              <w:rPr>
                <w:rFonts w:cs="Calibri" w:ascii="Calibri" w:hAnsi="Calibri" w:asciiTheme="minorHAnsi" w:cstheme="minorHAnsi" w:hAnsiTheme="minorHAnsi"/>
                <w:lang w:eastAsia="it-IT"/>
              </w:rPr>
              <w:t>VITA INDIPENDENTE 2024 - TRASFERIMENTO FIN. REG.LE FNA  ANNO 2024  - DGRT N.1577 DEL 18/12/2023 (ASL)</w:t>
            </w:r>
          </w:p>
        </w:tc>
        <w:tc>
          <w:tcPr>
            <w:tcW w:w="1486"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39.335</w:t>
            </w:r>
          </w:p>
        </w:tc>
        <w:tc>
          <w:tcPr>
            <w:tcW w:w="1133"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137"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39.335</w:t>
            </w:r>
          </w:p>
        </w:tc>
        <w:tc>
          <w:tcPr>
            <w:tcW w:w="1120"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r>
      <w:tr>
        <w:trPr>
          <w:trHeight w:val="20" w:hRule="atLeast"/>
        </w:trPr>
        <w:tc>
          <w:tcPr>
            <w:tcW w:w="4672" w:type="dxa"/>
            <w:tcBorders>
              <w:left w:val="single" w:sz="8" w:space="0" w:color="000000"/>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c>
          <w:tcPr>
            <w:tcW w:w="1486"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39.745</w:t>
            </w:r>
          </w:p>
        </w:tc>
        <w:tc>
          <w:tcPr>
            <w:tcW w:w="1133"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1.425.192</w:t>
            </w:r>
          </w:p>
        </w:tc>
        <w:tc>
          <w:tcPr>
            <w:tcW w:w="1137"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1.464.937</w:t>
            </w:r>
          </w:p>
        </w:tc>
        <w:tc>
          <w:tcPr>
            <w:tcW w:w="1120" w:type="dxa"/>
            <w:tcBorders>
              <w:bottom w:val="single" w:sz="8" w:space="0" w:color="000000"/>
              <w:right w:val="single" w:sz="8"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0</w:t>
            </w:r>
          </w:p>
        </w:tc>
      </w:tr>
    </w:tbl>
    <w:p>
      <w:pPr>
        <w:pStyle w:val="Normal"/>
        <w:widowControl w:val="false"/>
        <w:jc w:val="both"/>
        <w:rPr>
          <w:rFonts w:ascii="Calibri" w:hAnsi="Calibri" w:cs="Calibri" w:asciiTheme="minorHAnsi" w:cstheme="minorHAnsi" w:hAnsiTheme="minorHAnsi"/>
          <w:sz w:val="22"/>
          <w:szCs w:val="22"/>
        </w:rPr>
      </w:pPr>
      <w:r/>
      <w:r>
        <w:rPr>
          <w:rFonts w:ascii="Calibri" w:hAnsi="Calibri"/>
        </w:rPr>
        <w:fldChar w:fldCharType="end"/>
      </w:r>
      <w:r>
        <w:rPr>
          <w:rFonts w:ascii="Calibri" w:hAnsi="Calibri"/>
        </w:rPr>
      </w:r>
    </w:p>
    <w:p>
      <w:pPr>
        <w:pStyle w:val="Normal"/>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widowControl w:val="false"/>
        <w:numPr>
          <w:ilvl w:val="0"/>
          <w:numId w:val="5"/>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COSTI DELLA PRODUZIONE</w:t>
      </w:r>
    </w:p>
    <w:p>
      <w:pPr>
        <w:pStyle w:val="Normal"/>
        <w:widowControl w:val="false"/>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Commenti"/>
        <w:widowControl w:val="false"/>
        <w:spacing w:before="0" w:after="0"/>
        <w:rPr>
          <w:rFonts w:ascii="Calibri" w:hAnsi="Calibri" w:cs="Calibri" w:asciiTheme="minorHAnsi" w:cstheme="minorHAnsi" w:hAnsiTheme="minorHAnsi"/>
          <w:szCs w:val="22"/>
        </w:rPr>
      </w:pPr>
      <w:r>
        <w:rPr>
          <w:rFonts w:cs="Calibri" w:ascii="Calibri" w:hAnsi="Calibri" w:asciiTheme="minorHAnsi" w:cstheme="minorHAnsi" w:hAnsiTheme="minorHAnsi"/>
          <w:i w:val="false"/>
          <w:szCs w:val="22"/>
        </w:rPr>
        <w:t>Di seguito la tabella riepilogativa dei costi della produzione sostenuti nel corso dell’anno 2025.</w:t>
      </w:r>
    </w:p>
    <w:p>
      <w:pPr>
        <w:pStyle w:val="Corpodeltesto"/>
        <w:rPr>
          <w:rFonts w:ascii="Calibri" w:hAnsi="Calibri" w:cs="Calibri" w:asciiTheme="minorHAnsi" w:cstheme="minorHAnsi" w:hAnsiTheme="minorHAnsi"/>
          <w:sz w:val="22"/>
          <w:szCs w:val="22"/>
        </w:rPr>
      </w:pPr>
      <w:r>
        <w:rPr>
          <w:rFonts w:cs="Calibri" w:cstheme="minorHAnsi" w:ascii="Calibri" w:hAnsi="Calibri"/>
          <w:sz w:val="22"/>
          <w:szCs w:val="22"/>
        </w:rPr>
      </w:r>
    </w:p>
    <w:p>
      <w:pPr>
        <w:pStyle w:val="Corpodeltesto"/>
        <w:rPr>
          <w:rFonts w:ascii="Calibri" w:hAnsi="Calibri" w:cs="Calibri" w:asciiTheme="minorHAnsi" w:cstheme="minorHAnsi" w:hAnsiTheme="minorHAnsi"/>
          <w:sz w:val="20"/>
          <w:lang w:eastAsia="it-IT"/>
        </w:rPr>
      </w:pPr>
      <w:r>
        <w:fldChar w:fldCharType="begin"/>
      </w:r>
      <w:r>
        <w:rPr>
          <w:rFonts w:ascii="Calibri" w:hAnsi="Calibri"/>
        </w:rPr>
        <w:instrText xml:space="preserve">LINK Excel.Sheet.12 "F:\\DA COPIARE\\SDS VALDICHIANA\\TABELLE NOTA INTEGRATIVA2025_08.06.26.xlsx" "conto economico !R123C1:R135C4" \a \f 4 \h  \* MERGEFORMAT</w:instrText>
      </w:r>
      <w:r>
        <w:rPr>
          <w:rFonts w:ascii="Calibri" w:hAnsi="Calibri"/>
        </w:rPr>
      </w:r>
      <w:r>
        <w:rPr>
          <w:rFonts w:ascii="Calibri" w:hAnsi="Calibri"/>
        </w:rPr>
        <w:fldChar w:fldCharType="separate"/>
      </w:r>
      <w:r/>
      <w:r>
        <w:rPr>
          <w:rFonts w:ascii="Calibri" w:hAnsi="Calibri"/>
        </w:rPr>
      </w:r>
    </w:p>
    <w:tbl>
      <w:tblPr>
        <w:tblW w:w="92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2633"/>
        <w:gridCol w:w="2202"/>
        <w:gridCol w:w="1985"/>
        <w:gridCol w:w="2408"/>
      </w:tblGrid>
      <w:tr>
        <w:trPr>
          <w:trHeight w:val="227" w:hRule="atLeast"/>
        </w:trPr>
        <w:tc>
          <w:tcPr>
            <w:tcW w:w="9228" w:type="dxa"/>
            <w:gridSpan w:val="4"/>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COSTI DELLA PRODUZIONE</w:t>
            </w:r>
          </w:p>
        </w:tc>
      </w:tr>
      <w:tr>
        <w:trPr>
          <w:trHeight w:val="227" w:hRule="atLeast"/>
        </w:trPr>
        <w:tc>
          <w:tcPr>
            <w:tcW w:w="2633" w:type="dxa"/>
            <w:tcBorders>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Descrizione</w:t>
            </w:r>
          </w:p>
        </w:tc>
        <w:tc>
          <w:tcPr>
            <w:tcW w:w="2202"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31/12/2025</w:t>
            </w:r>
          </w:p>
        </w:tc>
        <w:tc>
          <w:tcPr>
            <w:tcW w:w="1985"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31/12/2024</w:t>
            </w:r>
          </w:p>
        </w:tc>
        <w:tc>
          <w:tcPr>
            <w:tcW w:w="2408"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Variazioni</w:t>
            </w:r>
          </w:p>
        </w:tc>
      </w:tr>
      <w:tr>
        <w:trPr>
          <w:trHeight w:val="227" w:hRule="atLeast"/>
        </w:trPr>
        <w:tc>
          <w:tcPr>
            <w:tcW w:w="2633"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Acquisti di beni</w:t>
            </w:r>
          </w:p>
        </w:tc>
        <w:tc>
          <w:tcPr>
            <w:tcW w:w="220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5.451</w:t>
            </w:r>
          </w:p>
        </w:tc>
        <w:tc>
          <w:tcPr>
            <w:tcW w:w="198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1.400</w:t>
            </w:r>
          </w:p>
        </w:tc>
        <w:tc>
          <w:tcPr>
            <w:tcW w:w="240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4.051</w:t>
            </w:r>
          </w:p>
        </w:tc>
      </w:tr>
      <w:tr>
        <w:trPr>
          <w:trHeight w:val="227" w:hRule="atLeast"/>
        </w:trPr>
        <w:tc>
          <w:tcPr>
            <w:tcW w:w="2633"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Acquisti di servizi</w:t>
            </w:r>
          </w:p>
        </w:tc>
        <w:tc>
          <w:tcPr>
            <w:tcW w:w="220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6.552.584</w:t>
            </w:r>
          </w:p>
        </w:tc>
        <w:tc>
          <w:tcPr>
            <w:tcW w:w="198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6.553.858</w:t>
            </w:r>
          </w:p>
        </w:tc>
        <w:tc>
          <w:tcPr>
            <w:tcW w:w="240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-1.274</w:t>
            </w:r>
          </w:p>
        </w:tc>
      </w:tr>
      <w:tr>
        <w:trPr>
          <w:trHeight w:val="227" w:hRule="atLeast"/>
        </w:trPr>
        <w:tc>
          <w:tcPr>
            <w:tcW w:w="2633"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Manutenzioni e riparazioni</w:t>
            </w:r>
          </w:p>
        </w:tc>
        <w:tc>
          <w:tcPr>
            <w:tcW w:w="220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10.415</w:t>
            </w:r>
          </w:p>
        </w:tc>
        <w:tc>
          <w:tcPr>
            <w:tcW w:w="198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8.020</w:t>
            </w:r>
          </w:p>
        </w:tc>
        <w:tc>
          <w:tcPr>
            <w:tcW w:w="240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2.395</w:t>
            </w:r>
          </w:p>
        </w:tc>
      </w:tr>
      <w:tr>
        <w:trPr>
          <w:trHeight w:val="227" w:hRule="atLeast"/>
        </w:trPr>
        <w:tc>
          <w:tcPr>
            <w:tcW w:w="2633"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Godimento beni di terzi</w:t>
            </w:r>
          </w:p>
        </w:tc>
        <w:tc>
          <w:tcPr>
            <w:tcW w:w="220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13.443</w:t>
            </w:r>
          </w:p>
        </w:tc>
        <w:tc>
          <w:tcPr>
            <w:tcW w:w="198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690</w:t>
            </w:r>
          </w:p>
        </w:tc>
        <w:tc>
          <w:tcPr>
            <w:tcW w:w="240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12.753</w:t>
            </w:r>
          </w:p>
        </w:tc>
      </w:tr>
      <w:tr>
        <w:trPr>
          <w:trHeight w:val="227" w:hRule="atLeast"/>
        </w:trPr>
        <w:tc>
          <w:tcPr>
            <w:tcW w:w="2633"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Personale</w:t>
            </w:r>
          </w:p>
        </w:tc>
        <w:tc>
          <w:tcPr>
            <w:tcW w:w="220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1.146.415</w:t>
            </w:r>
          </w:p>
        </w:tc>
        <w:tc>
          <w:tcPr>
            <w:tcW w:w="198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962.644</w:t>
            </w:r>
          </w:p>
        </w:tc>
        <w:tc>
          <w:tcPr>
            <w:tcW w:w="240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183.771</w:t>
            </w:r>
          </w:p>
        </w:tc>
      </w:tr>
      <w:tr>
        <w:trPr>
          <w:trHeight w:val="227" w:hRule="atLeast"/>
        </w:trPr>
        <w:tc>
          <w:tcPr>
            <w:tcW w:w="2633"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Oneri diversi di gestione</w:t>
            </w:r>
          </w:p>
        </w:tc>
        <w:tc>
          <w:tcPr>
            <w:tcW w:w="220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231.279</w:t>
            </w:r>
          </w:p>
        </w:tc>
        <w:tc>
          <w:tcPr>
            <w:tcW w:w="198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251.957</w:t>
            </w:r>
          </w:p>
        </w:tc>
        <w:tc>
          <w:tcPr>
            <w:tcW w:w="240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-20.678</w:t>
            </w:r>
          </w:p>
        </w:tc>
      </w:tr>
      <w:tr>
        <w:trPr>
          <w:trHeight w:val="227" w:hRule="atLeast"/>
        </w:trPr>
        <w:tc>
          <w:tcPr>
            <w:tcW w:w="2633"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Svalutazioni</w:t>
            </w:r>
          </w:p>
        </w:tc>
        <w:tc>
          <w:tcPr>
            <w:tcW w:w="2202" w:type="dxa"/>
            <w:tcBorders>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
          </w:p>
        </w:tc>
        <w:tc>
          <w:tcPr>
            <w:tcW w:w="198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240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r>
      <w:tr>
        <w:trPr>
          <w:trHeight w:val="227" w:hRule="atLeast"/>
        </w:trPr>
        <w:tc>
          <w:tcPr>
            <w:tcW w:w="2633"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Variazioni rimanenze</w:t>
            </w:r>
          </w:p>
        </w:tc>
        <w:tc>
          <w:tcPr>
            <w:tcW w:w="220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198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240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r>
      <w:tr>
        <w:trPr>
          <w:trHeight w:val="227" w:hRule="atLeast"/>
        </w:trPr>
        <w:tc>
          <w:tcPr>
            <w:tcW w:w="2633"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Ammortamenti dell'esercizio</w:t>
            </w:r>
          </w:p>
        </w:tc>
        <w:tc>
          <w:tcPr>
            <w:tcW w:w="220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1.336</w:t>
            </w:r>
          </w:p>
        </w:tc>
        <w:tc>
          <w:tcPr>
            <w:tcW w:w="198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2.547</w:t>
            </w:r>
          </w:p>
        </w:tc>
        <w:tc>
          <w:tcPr>
            <w:tcW w:w="240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-1.211</w:t>
            </w:r>
          </w:p>
        </w:tc>
      </w:tr>
      <w:tr>
        <w:trPr>
          <w:trHeight w:val="227" w:hRule="atLeast"/>
        </w:trPr>
        <w:tc>
          <w:tcPr>
            <w:tcW w:w="2633"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Accantonamento dell’esercizio</w:t>
            </w:r>
          </w:p>
        </w:tc>
        <w:tc>
          <w:tcPr>
            <w:tcW w:w="220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9430</w:t>
            </w:r>
          </w:p>
        </w:tc>
        <w:tc>
          <w:tcPr>
            <w:tcW w:w="198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c>
          <w:tcPr>
            <w:tcW w:w="240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9.430</w:t>
            </w:r>
          </w:p>
        </w:tc>
      </w:tr>
      <w:tr>
        <w:trPr>
          <w:trHeight w:val="227" w:hRule="atLeast"/>
        </w:trPr>
        <w:tc>
          <w:tcPr>
            <w:tcW w:w="2633" w:type="dxa"/>
            <w:tcBorders>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c>
          <w:tcPr>
            <w:tcW w:w="2202"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7.970.353</w:t>
            </w:r>
          </w:p>
        </w:tc>
        <w:tc>
          <w:tcPr>
            <w:tcW w:w="198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7.781.116</w:t>
            </w:r>
          </w:p>
        </w:tc>
        <w:tc>
          <w:tcPr>
            <w:tcW w:w="2408"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189.237</w:t>
            </w:r>
          </w:p>
        </w:tc>
      </w:tr>
    </w:tbl>
    <w:p>
      <w:pPr>
        <w:pStyle w:val="Corpodeltesto"/>
        <w:rPr>
          <w:rFonts w:ascii="Calibri" w:hAnsi="Calibri" w:cs="Calibri" w:asciiTheme="minorHAnsi" w:cstheme="minorHAnsi" w:hAnsiTheme="minorHAnsi"/>
          <w:sz w:val="22"/>
          <w:szCs w:val="22"/>
        </w:rPr>
      </w:pPr>
      <w:r/>
      <w:r>
        <w:rPr>
          <w:rFonts w:ascii="Calibri" w:hAnsi="Calibri"/>
        </w:rPr>
        <w:fldChar w:fldCharType="end"/>
      </w:r>
      <w:r>
        <w:rPr>
          <w:rFonts w:ascii="Calibri" w:hAnsi="Calibri"/>
        </w:rPr>
      </w:r>
    </w:p>
    <w:p>
      <w:pPr>
        <w:pStyle w:val="Corpodeltes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A commento e maggiore chiarimento dei valori della tabella che precede, si precisa quanto segue:</w:t>
      </w:r>
    </w:p>
    <w:p>
      <w:pPr>
        <w:pStyle w:val="Corpodeltesto"/>
        <w:rPr>
          <w:rFonts w:ascii="Calibri" w:hAnsi="Calibri" w:cs="Calibri" w:asciiTheme="minorHAnsi" w:cstheme="minorHAnsi" w:hAnsiTheme="minorHAnsi"/>
          <w:sz w:val="22"/>
          <w:szCs w:val="22"/>
        </w:rPr>
      </w:pPr>
      <w:r>
        <w:rPr>
          <w:rFonts w:cs="Calibri" w:cstheme="minorHAnsi" w:ascii="Calibri" w:hAnsi="Calibri"/>
          <w:sz w:val="22"/>
          <w:szCs w:val="22"/>
        </w:rPr>
      </w:r>
    </w:p>
    <w:p>
      <w:pPr>
        <w:pStyle w:val="Corpodeltes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i/>
          <w:sz w:val="22"/>
          <w:szCs w:val="22"/>
        </w:rPr>
        <w:t>Acquisti di beni:</w:t>
      </w:r>
      <w:r>
        <w:rPr>
          <w:rFonts w:cs="Calibri" w:ascii="Calibri" w:hAnsi="Calibri" w:asciiTheme="minorHAnsi" w:cstheme="minorHAnsi" w:hAnsiTheme="minorHAnsi"/>
          <w:sz w:val="22"/>
          <w:szCs w:val="22"/>
        </w:rPr>
        <w:t xml:space="preserve"> pari a 5.451€, si riferiscono a beni richiesti tramite magazzino economale dell’Azienda Sanitaria USL Toscana Sud Est il cui costo viene rimborsato all'Azienda.</w:t>
      </w:r>
    </w:p>
    <w:p>
      <w:pPr>
        <w:pStyle w:val="Corpodeltes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i/>
          <w:sz w:val="22"/>
          <w:szCs w:val="22"/>
        </w:rPr>
        <w:t>Acquisti di servizi:</w:t>
      </w:r>
      <w:r>
        <w:rPr>
          <w:rFonts w:cs="Calibri" w:ascii="Calibri" w:hAnsi="Calibri" w:asciiTheme="minorHAnsi" w:cstheme="minorHAnsi" w:hAnsiTheme="minorHAnsi"/>
          <w:sz w:val="22"/>
          <w:szCs w:val="22"/>
        </w:rPr>
        <w:t xml:space="preserve"> pari a </w:t>
      </w:r>
      <w:r>
        <w:rPr>
          <w:rFonts w:cs="Calibri" w:ascii="Calibri" w:hAnsi="Calibri" w:asciiTheme="minorHAnsi" w:cstheme="minorHAnsi" w:hAnsiTheme="minorHAnsi"/>
          <w:color w:val="000000"/>
          <w:sz w:val="22"/>
          <w:szCs w:val="22"/>
          <w:lang w:eastAsia="en-US"/>
        </w:rPr>
        <w:t>6.552.584</w:t>
      </w:r>
      <w:r>
        <w:rPr>
          <w:rFonts w:cs="Calibri" w:ascii="Calibri" w:hAnsi="Calibri" w:asciiTheme="minorHAnsi" w:cstheme="minorHAnsi" w:hAnsiTheme="minorHAnsi"/>
          <w:sz w:val="22"/>
          <w:szCs w:val="22"/>
        </w:rPr>
        <w:t>€. Di seguito un dettaglio degli acquisti di servizi:</w:t>
      </w:r>
    </w:p>
    <w:p>
      <w:pPr>
        <w:pStyle w:val="Corpodeltesto"/>
        <w:rPr>
          <w:rFonts w:ascii="Calibri" w:hAnsi="Calibri" w:cs="Calibri" w:asciiTheme="minorHAnsi" w:cstheme="minorHAnsi" w:hAnsiTheme="minorHAnsi"/>
          <w:sz w:val="22"/>
          <w:szCs w:val="22"/>
        </w:rPr>
      </w:pPr>
      <w:r>
        <w:rPr>
          <w:rFonts w:cs="Calibri" w:cstheme="minorHAnsi" w:ascii="Calibri" w:hAnsi="Calibri"/>
          <w:sz w:val="22"/>
          <w:szCs w:val="22"/>
        </w:rPr>
      </w:r>
    </w:p>
    <w:p>
      <w:pPr>
        <w:pStyle w:val="Corpodeltesto"/>
        <w:rPr>
          <w:rFonts w:ascii="Calibri" w:hAnsi="Calibri" w:cs="Calibri" w:asciiTheme="minorHAnsi" w:cstheme="minorHAnsi" w:hAnsiTheme="minorHAnsi"/>
          <w:sz w:val="20"/>
          <w:lang w:eastAsia="it-IT"/>
        </w:rPr>
      </w:pPr>
      <w:r>
        <w:fldChar w:fldCharType="begin"/>
      </w:r>
      <w:r>
        <w:rPr>
          <w:rFonts w:ascii="Calibri" w:hAnsi="Calibri"/>
        </w:rPr>
        <w:instrText xml:space="preserve">LINK Excel.Sheet.12 "F:\\DA COPIARE\\SDS VALDICHIANA\\TABELLE NOTA INTEGRATIVA2025_08.06.26.xlsx" "conto economico !R138C1:R170C4" \a \f 4 \h  \* MERGEFORMAT</w:instrText>
      </w:r>
      <w:r>
        <w:rPr>
          <w:rFonts w:ascii="Calibri" w:hAnsi="Calibri"/>
        </w:rPr>
      </w:r>
      <w:r>
        <w:rPr>
          <w:rFonts w:ascii="Calibri" w:hAnsi="Calibri"/>
        </w:rPr>
        <w:fldChar w:fldCharType="separate"/>
      </w:r>
      <w:r/>
      <w:r>
        <w:rPr>
          <w:rFonts w:ascii="Calibri" w:hAnsi="Calibri"/>
        </w:rPr>
      </w:r>
    </w:p>
    <w:tbl>
      <w:tblPr>
        <w:tblW w:w="9573"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5037"/>
        <w:gridCol w:w="1815"/>
        <w:gridCol w:w="1534"/>
        <w:gridCol w:w="1186"/>
      </w:tblGrid>
      <w:tr>
        <w:trPr>
          <w:tblHeader w:val="true"/>
          <w:trHeight w:val="20" w:hRule="atLeast"/>
        </w:trPr>
        <w:tc>
          <w:tcPr>
            <w:tcW w:w="9572" w:type="dxa"/>
            <w:gridSpan w:val="4"/>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ACQUISTI DI SERVIZI</w:t>
            </w:r>
          </w:p>
        </w:tc>
      </w:tr>
      <w:tr>
        <w:trPr>
          <w:trHeight w:val="20" w:hRule="atLeast"/>
        </w:trPr>
        <w:tc>
          <w:tcPr>
            <w:tcW w:w="5037" w:type="dxa"/>
            <w:tcBorders>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Descrizione</w:t>
            </w:r>
          </w:p>
        </w:tc>
        <w:tc>
          <w:tcPr>
            <w:tcW w:w="1815"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31/12/2025</w:t>
            </w:r>
          </w:p>
        </w:tc>
        <w:tc>
          <w:tcPr>
            <w:tcW w:w="1534"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31/12/2024</w:t>
            </w:r>
          </w:p>
        </w:tc>
        <w:tc>
          <w:tcPr>
            <w:tcW w:w="1186"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Variazioni</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Servizi sanitari da settore pubblico</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Servizi sanitari da settore privato</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1.767.037</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1.719.245</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24.792</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Rimborsi ad associazioni</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36.279</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44.093</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-7.814</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Sussidi a minori</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55.679</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48.999</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6.680</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Sussidi ad anziani</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439.427</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421.884</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17.543</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Sussidi a disabili</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1.202.771</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1.190.502</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12.269</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Altri sussidi</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9.880</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13.767</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-3.887</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Rimborsi rette</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0</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0</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0</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Consulenze</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0</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0</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0</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Altri servizi sanitari</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23.000</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0</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23.000</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Servizi non sanitari da settore pubblico</w:t>
            </w:r>
          </w:p>
        </w:tc>
        <w:tc>
          <w:tcPr>
            <w:tcW w:w="1815" w:type="dxa"/>
            <w:tcBorders>
              <w:bottom w:val="single" w:sz="4" w:space="0" w:color="000000"/>
              <w:right w:val="single" w:sz="4" w:space="0" w:color="000000"/>
            </w:tcBorders>
            <w:shd w:color="F2F2F2" w:fill="FFFFFF" w:val="clear"/>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272.419</w:t>
            </w:r>
          </w:p>
        </w:tc>
        <w:tc>
          <w:tcPr>
            <w:tcW w:w="1534" w:type="dxa"/>
            <w:tcBorders>
              <w:bottom w:val="single" w:sz="4" w:space="0" w:color="000000"/>
              <w:right w:val="single" w:sz="4" w:space="0" w:color="000000"/>
            </w:tcBorders>
            <w:shd w:color="F2F2F2" w:fill="FFFFFF" w:val="clear"/>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351.603</w:t>
            </w:r>
          </w:p>
        </w:tc>
        <w:tc>
          <w:tcPr>
            <w:tcW w:w="1186" w:type="dxa"/>
            <w:tcBorders>
              <w:bottom w:val="single" w:sz="4" w:space="0" w:color="000000"/>
              <w:right w:val="single" w:sz="4" w:space="0" w:color="000000"/>
            </w:tcBorders>
            <w:shd w:color="F2F2F2" w:fill="FFFFFF" w:val="clear"/>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-79.184</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Rette anziani da settore pubblico - quota sociale</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130.590</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149.856</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-19.266</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Costi per rette semiresidenziali anziani da sett. Pubb. Quota sociale</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98.664</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83.487</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15.177</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Costi avvalimento</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0</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29.965</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-29.965</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Rimborso personale comandato</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43.165</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39.859</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3.306</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Altri costi sociale</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0</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48.436</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-48.436</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Servizi non sanitari da settore privato</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4.513.128</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4.483.010</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30.118</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Servizi trasporti (non sanitari)</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436.163</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473.320</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-37.157</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Costi per altre polizze assicurative</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3.289</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0</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3.289</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Costi per rette anziani gest. Sociale</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154.683</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166.766</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-12.083</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Costi per rette minori gest. Sociale</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433.112</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333.591</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99.521</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Costi per servizi sociali a convenzione rivolti ad anziani</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1.574.760</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1.502.870</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71.890</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Costi per servizi sociali a convenzioni per disabili</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1.037.361</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956.227</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81.134</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Costi per altri serv. Sociali a convenzione</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580.382</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718.464</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-138.082</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Altri costi della gestione sociale</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0</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15.408</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-15.408</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Consulenze, collaborazioni, interinale e altre prestazioni di lavoro non sanitarie da privato</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97.580</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135.952</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-38.372</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Costi per progetti comunitari</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133.012</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163.331</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-30.319</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Formazione (esternalizzata e non) da privato</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16.403</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1050</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15.353</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Costi per altri servizi non sanitari da settore privato</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46.384</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13.693</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32.691</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Costi per altre rette - quota sociale da sett. Privato</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0</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2.338</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-2.338</w:t>
            </w:r>
          </w:p>
        </w:tc>
      </w:tr>
      <w:tr>
        <w:trPr>
          <w:trHeight w:val="20" w:hRule="atLeast"/>
        </w:trPr>
        <w:tc>
          <w:tcPr>
            <w:tcW w:w="5037" w:type="dxa"/>
            <w:tcBorders>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Totale</w:t>
            </w:r>
          </w:p>
        </w:tc>
        <w:tc>
          <w:tcPr>
            <w:tcW w:w="1815"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6.552.584</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6.553.858</w:t>
            </w:r>
          </w:p>
        </w:tc>
        <w:tc>
          <w:tcPr>
            <w:tcW w:w="1186"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-1.724</w:t>
            </w:r>
          </w:p>
        </w:tc>
      </w:tr>
    </w:tbl>
    <w:p>
      <w:pPr>
        <w:pStyle w:val="Corpodeltesto"/>
        <w:rPr>
          <w:rFonts w:ascii="Calibri" w:hAnsi="Calibri" w:cs="Calibri" w:asciiTheme="minorHAnsi" w:cstheme="minorHAnsi" w:hAnsiTheme="minorHAnsi"/>
          <w:sz w:val="22"/>
          <w:szCs w:val="22"/>
        </w:rPr>
      </w:pPr>
      <w:r/>
      <w:r>
        <w:rPr>
          <w:rFonts w:ascii="Calibri" w:hAnsi="Calibri"/>
        </w:rPr>
        <w:fldChar w:fldCharType="end"/>
      </w:r>
      <w:r>
        <w:rPr>
          <w:rFonts w:ascii="Calibri" w:hAnsi="Calibri"/>
        </w:rPr>
      </w:r>
    </w:p>
    <w:p>
      <w:pPr>
        <w:pStyle w:val="Corpodeltes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i/>
          <w:sz w:val="22"/>
          <w:szCs w:val="22"/>
        </w:rPr>
        <w:t>Manutenzioni e riparazioni:</w:t>
      </w:r>
      <w:r>
        <w:rPr>
          <w:rFonts w:cs="Calibri" w:ascii="Calibri" w:hAnsi="Calibri" w:asciiTheme="minorHAnsi" w:cstheme="minorHAnsi" w:hAnsiTheme="minorHAnsi"/>
          <w:sz w:val="22"/>
          <w:szCs w:val="22"/>
        </w:rPr>
        <w:t xml:space="preserve"> pari a 10.415€ si riferiscono a manutenzioni software e a manutenzioni sui beni.</w:t>
      </w:r>
    </w:p>
    <w:p>
      <w:pPr>
        <w:pStyle w:val="Corpodeltesto"/>
        <w:rPr>
          <w:rFonts w:ascii="Calibri" w:hAnsi="Calibri" w:cs="Calibri" w:asciiTheme="minorHAnsi" w:cstheme="minorHAnsi" w:hAnsiTheme="minorHAnsi"/>
          <w:sz w:val="22"/>
          <w:szCs w:val="22"/>
        </w:rPr>
      </w:pPr>
      <w:r>
        <w:rPr>
          <w:rFonts w:cs="Calibri" w:cstheme="minorHAnsi" w:ascii="Calibri" w:hAnsi="Calibri"/>
          <w:sz w:val="22"/>
          <w:szCs w:val="22"/>
        </w:rPr>
      </w:r>
    </w:p>
    <w:p>
      <w:pPr>
        <w:pStyle w:val="Corpodeltesto"/>
        <w:rPr>
          <w:rFonts w:ascii="Calibri" w:hAnsi="Calibri" w:cs="Calibri" w:asciiTheme="minorHAnsi" w:cstheme="minorHAnsi" w:hAnsiTheme="minorHAnsi"/>
          <w:sz w:val="22"/>
          <w:szCs w:val="22"/>
        </w:rPr>
      </w:pPr>
      <w:r>
        <w:rPr>
          <w:rFonts w:cs="Calibri" w:ascii="Calibri" w:hAnsi="Calibri" w:asciiTheme="minorHAnsi" w:cstheme="minorHAnsi" w:hAnsiTheme="minorHAnsi"/>
          <w:i/>
          <w:sz w:val="22"/>
          <w:szCs w:val="22"/>
        </w:rPr>
        <w:t>- Godimento di beni di terzi</w:t>
      </w:r>
      <w:r>
        <w:rPr>
          <w:rFonts w:cs="Calibri" w:ascii="Calibri" w:hAnsi="Calibri" w:asciiTheme="minorHAnsi" w:cstheme="minorHAnsi" w:hAnsiTheme="minorHAnsi"/>
          <w:sz w:val="22"/>
          <w:szCs w:val="22"/>
        </w:rPr>
        <w:t>: pari a 13.443€ si riferiscono a noleggi e locazione automezzi.</w:t>
      </w:r>
    </w:p>
    <w:p>
      <w:pPr>
        <w:pStyle w:val="Corpodeltesto"/>
        <w:rPr>
          <w:rFonts w:ascii="Calibri" w:hAnsi="Calibri" w:cs="Calibri" w:asciiTheme="minorHAnsi" w:cstheme="minorHAnsi" w:hAnsiTheme="minorHAnsi"/>
          <w:sz w:val="22"/>
          <w:szCs w:val="22"/>
        </w:rPr>
      </w:pPr>
      <w:r>
        <w:rPr>
          <w:rFonts w:cs="Calibri" w:cstheme="minorHAnsi" w:ascii="Calibri" w:hAnsi="Calibri"/>
          <w:sz w:val="22"/>
          <w:szCs w:val="22"/>
        </w:rPr>
      </w:r>
    </w:p>
    <w:p>
      <w:pPr>
        <w:pStyle w:val="Corpodeltes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i/>
          <w:sz w:val="22"/>
          <w:szCs w:val="22"/>
        </w:rPr>
        <w:t>Personale:</w:t>
      </w:r>
      <w:r>
        <w:rPr>
          <w:rFonts w:cs="Calibri" w:ascii="Calibri" w:hAnsi="Calibri" w:asciiTheme="minorHAnsi" w:cstheme="minorHAnsi" w:hAnsiTheme="minorHAnsi"/>
          <w:sz w:val="22"/>
          <w:szCs w:val="22"/>
        </w:rPr>
        <w:t xml:space="preserve"> pari a 1.146.415€ ricomprende </w:t>
      </w:r>
      <w:r>
        <w:rPr>
          <w:rFonts w:cs="Calibri" w:ascii="Calibri" w:hAnsi="Calibri" w:asciiTheme="minorHAnsi" w:cstheme="minorHAnsi" w:hAnsiTheme="minorHAnsi"/>
          <w:sz w:val="22"/>
          <w:szCs w:val="22"/>
          <w:shd w:fill="FFFFFF" w:val="clear"/>
        </w:rPr>
        <w:t>gli</w:t>
      </w:r>
      <w:r>
        <w:rPr>
          <w:rFonts w:cs="Calibri" w:ascii="Calibri" w:hAnsi="Calibri" w:asciiTheme="minorHAnsi" w:cstheme="minorHAnsi" w:hAnsiTheme="minorHAnsi"/>
          <w:sz w:val="22"/>
          <w:szCs w:val="22"/>
        </w:rPr>
        <w:t xml:space="preserve"> emolumenti al personale dipendente amministrativo e tecnico, come di seguito dettagliato:</w:t>
      </w:r>
    </w:p>
    <w:p>
      <w:pPr>
        <w:pStyle w:val="Corpodeltesto"/>
        <w:rPr>
          <w:rFonts w:ascii="Calibri" w:hAnsi="Calibri" w:cs="Calibri" w:asciiTheme="minorHAnsi" w:cstheme="minorHAnsi" w:hAnsiTheme="minorHAnsi"/>
          <w:sz w:val="20"/>
          <w:lang w:eastAsia="it-IT"/>
        </w:rPr>
      </w:pPr>
      <w:r>
        <w:fldChar w:fldCharType="begin"/>
      </w:r>
      <w:r>
        <w:rPr>
          <w:rFonts w:ascii="Calibri" w:hAnsi="Calibri"/>
        </w:rPr>
        <w:instrText xml:space="preserve">LINK Excel.Sheet.12 "F:\\DA COPIARE\\SDS VALDICHIANA\\TABELLE NOTA INTEGRATIVA2025_08.06.26.xlsx" "conto economico !R173C1:R178C4" \a \f 4 \h  \* MERGEFORMAT</w:instrText>
      </w:r>
      <w:r>
        <w:rPr>
          <w:rFonts w:ascii="Calibri" w:hAnsi="Calibri"/>
        </w:rPr>
      </w:r>
      <w:r>
        <w:rPr>
          <w:rFonts w:ascii="Calibri" w:hAnsi="Calibri"/>
        </w:rPr>
        <w:fldChar w:fldCharType="separate"/>
      </w:r>
      <w:r/>
      <w:r>
        <w:rPr>
          <w:rFonts w:ascii="Calibri" w:hAnsi="Calibri"/>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5651"/>
        <w:gridCol w:w="1534"/>
        <w:gridCol w:w="1473"/>
        <w:gridCol w:w="979"/>
      </w:tblGrid>
      <w:tr>
        <w:trPr>
          <w:tblHeader w:val="true"/>
          <w:trHeight w:val="170" w:hRule="atLeast"/>
        </w:trPr>
        <w:tc>
          <w:tcPr>
            <w:tcW w:w="9637" w:type="dxa"/>
            <w:gridSpan w:val="4"/>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COSTO DEL PERSONALE</w:t>
            </w:r>
          </w:p>
        </w:tc>
      </w:tr>
      <w:tr>
        <w:trPr>
          <w:tblHeader w:val="true"/>
          <w:trHeight w:val="170" w:hRule="atLeast"/>
        </w:trPr>
        <w:tc>
          <w:tcPr>
            <w:tcW w:w="5651" w:type="dxa"/>
            <w:tcBorders>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Descrizione</w:t>
            </w:r>
          </w:p>
        </w:tc>
        <w:tc>
          <w:tcPr>
            <w:tcW w:w="1534"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31/12/2025</w:t>
            </w:r>
          </w:p>
        </w:tc>
        <w:tc>
          <w:tcPr>
            <w:tcW w:w="1473"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31/12/2024</w:t>
            </w:r>
          </w:p>
        </w:tc>
        <w:tc>
          <w:tcPr>
            <w:tcW w:w="979"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Variazioni</w:t>
            </w:r>
          </w:p>
        </w:tc>
      </w:tr>
      <w:tr>
        <w:trPr>
          <w:trHeight w:val="170" w:hRule="atLeast"/>
        </w:trPr>
        <w:tc>
          <w:tcPr>
            <w:tcW w:w="5651"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Personale ruolo sanitario</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c>
          <w:tcPr>
            <w:tcW w:w="147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c>
          <w:tcPr>
            <w:tcW w:w="9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r>
      <w:tr>
        <w:trPr>
          <w:trHeight w:val="170" w:hRule="atLeast"/>
        </w:trPr>
        <w:tc>
          <w:tcPr>
            <w:tcW w:w="5651"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Personale ruolo socio-sanitario</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776.172</w:t>
            </w:r>
          </w:p>
        </w:tc>
        <w:tc>
          <w:tcPr>
            <w:tcW w:w="147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705.068</w:t>
            </w:r>
          </w:p>
        </w:tc>
        <w:tc>
          <w:tcPr>
            <w:tcW w:w="9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71.104</w:t>
            </w:r>
          </w:p>
        </w:tc>
      </w:tr>
      <w:tr>
        <w:trPr>
          <w:trHeight w:val="170" w:hRule="atLeast"/>
        </w:trPr>
        <w:tc>
          <w:tcPr>
            <w:tcW w:w="5651"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Personale ruolo amministrativo</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370.243</w:t>
            </w:r>
          </w:p>
        </w:tc>
        <w:tc>
          <w:tcPr>
            <w:tcW w:w="147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257.576</w:t>
            </w:r>
          </w:p>
        </w:tc>
        <w:tc>
          <w:tcPr>
            <w:tcW w:w="9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112.667</w:t>
            </w:r>
          </w:p>
        </w:tc>
      </w:tr>
      <w:tr>
        <w:trPr>
          <w:trHeight w:val="170" w:hRule="atLeast"/>
        </w:trPr>
        <w:tc>
          <w:tcPr>
            <w:tcW w:w="5651" w:type="dxa"/>
            <w:tcBorders>
              <w:left w:val="single" w:sz="4" w:space="0" w:color="000000"/>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 xml:space="preserve"> </w:t>
            </w:r>
            <w:r>
              <w:rPr>
                <w:rFonts w:cs="Calibri" w:ascii="Calibri" w:hAnsi="Calibri" w:asciiTheme="minorHAnsi" w:cstheme="minorHAnsi" w:hAnsiTheme="minorHAnsi"/>
                <w:b/>
                <w:bCs/>
                <w:color w:val="000000"/>
                <w:lang w:eastAsia="it-IT"/>
              </w:rPr>
              <w:t>Totale</w:t>
            </w:r>
          </w:p>
        </w:tc>
        <w:tc>
          <w:tcPr>
            <w:tcW w:w="1534"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1.146.415</w:t>
            </w:r>
          </w:p>
        </w:tc>
        <w:tc>
          <w:tcPr>
            <w:tcW w:w="147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962.644</w:t>
            </w:r>
          </w:p>
        </w:tc>
        <w:tc>
          <w:tcPr>
            <w:tcW w:w="97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183.771</w:t>
            </w:r>
          </w:p>
        </w:tc>
      </w:tr>
    </w:tbl>
    <w:p>
      <w:pPr>
        <w:pStyle w:val="Corpodeltesto"/>
        <w:rPr>
          <w:rFonts w:ascii="Calibri" w:hAnsi="Calibri"/>
        </w:rPr>
      </w:pPr>
      <w:r/>
      <w:r>
        <w:rPr>
          <w:rFonts w:ascii="Calibri" w:hAnsi="Calibri"/>
        </w:rPr>
        <w:fldChar w:fldCharType="end"/>
      </w:r>
      <w:r>
        <w:rPr>
          <w:rFonts w:ascii="Calibri" w:hAnsi="Calibri"/>
        </w:rPr>
      </w:r>
    </w:p>
    <w:p>
      <w:pPr>
        <w:pStyle w:val="Corpodeltesto"/>
        <w:rPr>
          <w:rFonts w:ascii="Calibri" w:hAnsi="Calibri"/>
        </w:rPr>
      </w:pPr>
      <w:r>
        <w:rPr>
          <w:rFonts w:ascii="Calibri" w:hAnsi="Calibri"/>
        </w:rPr>
        <w:t>Nel costo del personale sono compresi anche i fondi del personale non ancora distribuiti al 31/12/2025 come comunicazione da SdS.</w:t>
      </w:r>
    </w:p>
    <w:p>
      <w:pPr>
        <w:pStyle w:val="Corpodeltesto"/>
        <w:rPr>
          <w:rFonts w:ascii="Calibri" w:hAnsi="Calibri" w:cs="Calibri" w:asciiTheme="minorHAnsi" w:cstheme="minorHAnsi" w:hAnsiTheme="minorHAnsi"/>
          <w:i/>
          <w:i/>
          <w:sz w:val="22"/>
          <w:szCs w:val="22"/>
        </w:rPr>
      </w:pPr>
      <w:r>
        <w:rPr>
          <w:rFonts w:cs="Calibri" w:cstheme="minorHAnsi" w:ascii="Calibri" w:hAnsi="Calibri"/>
          <w:i/>
          <w:sz w:val="22"/>
          <w:szCs w:val="22"/>
        </w:rPr>
      </w:r>
    </w:p>
    <w:p>
      <w:pPr>
        <w:pStyle w:val="Corpodeltesto"/>
        <w:rPr>
          <w:rFonts w:ascii="Calibri" w:hAnsi="Calibri" w:cs="Calibri" w:asciiTheme="minorHAnsi" w:cstheme="minorHAnsi" w:hAnsiTheme="minorHAnsi"/>
          <w:sz w:val="22"/>
          <w:szCs w:val="22"/>
        </w:rPr>
      </w:pPr>
      <w:r>
        <w:rPr>
          <w:rFonts w:cs="Calibri" w:ascii="Calibri" w:hAnsi="Calibri" w:asciiTheme="minorHAnsi" w:cstheme="minorHAnsi" w:hAnsiTheme="minorHAnsi"/>
          <w:i/>
          <w:sz w:val="22"/>
          <w:szCs w:val="22"/>
        </w:rPr>
        <w:t>- Oneri diversi di gestione</w:t>
      </w:r>
      <w:r>
        <w:rPr>
          <w:rFonts w:cs="Calibri" w:ascii="Calibri" w:hAnsi="Calibri" w:asciiTheme="minorHAnsi" w:cstheme="minorHAnsi" w:hAnsiTheme="minorHAnsi"/>
          <w:sz w:val="22"/>
          <w:szCs w:val="22"/>
        </w:rPr>
        <w:t>: pari a 231.279€ ricomprendono le indennità e rimborso spese compreso gli oneri sociali per il Direttore della SdS, premi per polizze assicurative, i rimborsi per acquisto di marche da bollo e utenze, i</w:t>
      </w:r>
      <w:r>
        <w:rPr>
          <w:rFonts w:cs="Calibri" w:ascii="Calibri" w:hAnsi="Calibri" w:asciiTheme="minorHAnsi" w:cstheme="minorHAnsi" w:hAnsiTheme="minorHAnsi"/>
          <w:sz w:val="22"/>
          <w:szCs w:val="22"/>
          <w:shd w:fill="FFFFFF" w:val="clear"/>
        </w:rPr>
        <w:t xml:space="preserve"> </w:t>
      </w:r>
      <w:r>
        <w:rPr>
          <w:rFonts w:cs="Calibri" w:ascii="Calibri" w:hAnsi="Calibri" w:asciiTheme="minorHAnsi" w:cstheme="minorHAnsi" w:hAnsiTheme="minorHAnsi"/>
          <w:sz w:val="22"/>
          <w:szCs w:val="22"/>
        </w:rPr>
        <w:t>compensi al Collegio Sindacale, i costi del servizio di avvalimento per le funzioni amministrative e le imposte e tasse escluso Irap e Ires quali le imposte di bollo.</w:t>
      </w:r>
    </w:p>
    <w:p>
      <w:pPr>
        <w:pStyle w:val="Corpodeltesto"/>
        <w:rPr>
          <w:rFonts w:ascii="Calibri" w:hAnsi="Calibri" w:cs="Calibri" w:asciiTheme="minorHAnsi" w:cstheme="minorHAnsi" w:hAnsiTheme="minorHAnsi"/>
          <w:sz w:val="22"/>
          <w:szCs w:val="22"/>
        </w:rPr>
      </w:pPr>
      <w:r>
        <w:rPr>
          <w:rFonts w:cs="Calibri" w:cstheme="minorHAnsi" w:ascii="Calibri" w:hAnsi="Calibri"/>
          <w:sz w:val="22"/>
          <w:szCs w:val="22"/>
        </w:rPr>
      </w:r>
    </w:p>
    <w:p>
      <w:pPr>
        <w:pStyle w:val="Corpodeltesto"/>
        <w:rPr>
          <w:rFonts w:ascii="Calibri" w:hAnsi="Calibri" w:cs="Calibri" w:asciiTheme="minorHAnsi" w:cstheme="minorHAnsi" w:hAnsiTheme="minorHAnsi"/>
          <w:sz w:val="22"/>
          <w:szCs w:val="22"/>
        </w:rPr>
      </w:pPr>
      <w:r>
        <w:rPr>
          <w:rFonts w:cs="Calibri" w:ascii="Calibri" w:hAnsi="Calibri" w:asciiTheme="minorHAnsi" w:cstheme="minorHAnsi" w:hAnsiTheme="minorHAnsi"/>
          <w:i/>
          <w:sz w:val="22"/>
          <w:szCs w:val="22"/>
        </w:rPr>
        <w:t>- Ammortamenti:</w:t>
      </w:r>
      <w:r>
        <w:rPr>
          <w:rFonts w:cs="Calibri" w:ascii="Calibri" w:hAnsi="Calibri" w:asciiTheme="minorHAnsi" w:cstheme="minorHAnsi" w:hAnsiTheme="minorHAnsi"/>
          <w:sz w:val="22"/>
          <w:szCs w:val="22"/>
        </w:rPr>
        <w:t xml:space="preserve"> pari a 1.336€ si riferiscono agli ammortamenti dei beni acquistati dalla SDS nell’anno in corso e precedenti.</w:t>
      </w:r>
    </w:p>
    <w:p>
      <w:pPr>
        <w:pStyle w:val="Corpodeltesto"/>
        <w:rPr>
          <w:rFonts w:ascii="Calibri" w:hAnsi="Calibri" w:cs="Calibri" w:asciiTheme="minorHAnsi" w:cstheme="minorHAnsi" w:hAnsiTheme="minorHAnsi"/>
          <w:sz w:val="22"/>
          <w:szCs w:val="22"/>
        </w:rPr>
      </w:pPr>
      <w:r>
        <w:rPr>
          <w:rFonts w:cs="Calibri" w:cstheme="minorHAnsi" w:ascii="Calibri" w:hAnsi="Calibri"/>
          <w:sz w:val="22"/>
          <w:szCs w:val="22"/>
        </w:rPr>
      </w:r>
    </w:p>
    <w:p>
      <w:pPr>
        <w:pStyle w:val="Titolo3"/>
        <w:widowControl w:val="false"/>
        <w:numPr>
          <w:ilvl w:val="0"/>
          <w:numId w:val="1"/>
        </w:numPr>
        <w:jc w:val="both"/>
        <w:rPr>
          <w:rFonts w:ascii="Calibri" w:hAnsi="Calibri" w:cs="Calibri" w:asciiTheme="minorHAnsi" w:cstheme="minorHAnsi" w:hAnsiTheme="minorHAnsi"/>
          <w:sz w:val="22"/>
          <w:szCs w:val="22"/>
        </w:rPr>
      </w:pPr>
      <w:bookmarkStart w:id="21" w:name="EcoProOneFin"/>
      <w:bookmarkEnd w:id="21"/>
      <w:r>
        <w:rPr>
          <w:rFonts w:cs="Calibri" w:ascii="Calibri" w:hAnsi="Calibri" w:asciiTheme="minorHAnsi" w:cstheme="minorHAnsi" w:hAnsiTheme="minorHAnsi"/>
          <w:i/>
          <w:sz w:val="22"/>
          <w:szCs w:val="22"/>
        </w:rPr>
        <w:t>PROVENTI E ONERI FINANZIARI (n. 12 art. 2427 c.c.)</w:t>
      </w:r>
    </w:p>
    <w:p>
      <w:pPr>
        <w:pStyle w:val="Normal"/>
        <w:rPr>
          <w:rFonts w:ascii="Calibri" w:hAnsi="Calibri" w:cs="Calibri" w:asciiTheme="minorHAnsi" w:cstheme="minorHAnsi" w:hAnsiTheme="minorHAnsi"/>
          <w:i/>
          <w:i/>
          <w:sz w:val="22"/>
          <w:szCs w:val="22"/>
        </w:rPr>
      </w:pPr>
      <w:r>
        <w:rPr>
          <w:rFonts w:cs="Calibri" w:cstheme="minorHAnsi" w:ascii="Calibri" w:hAnsi="Calibri"/>
          <w:i/>
          <w:sz w:val="22"/>
          <w:szCs w:val="22"/>
        </w:rPr>
      </w:r>
    </w:p>
    <w:p>
      <w:pPr>
        <w:pStyle w:val="WW-Rientronormale"/>
        <w:widowControl w:val="false"/>
        <w:ind w:left="0"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Non risultano proventi ed oneri finanziari.</w:t>
      </w:r>
    </w:p>
    <w:p>
      <w:pPr>
        <w:pStyle w:val="Normal"/>
        <w:widowControl w:val="false"/>
        <w:rPr>
          <w:rFonts w:ascii="Calibri" w:hAnsi="Calibri" w:cs="Calibri" w:asciiTheme="minorHAnsi" w:cstheme="minorHAnsi" w:hAnsiTheme="minorHAnsi"/>
          <w:sz w:val="22"/>
          <w:szCs w:val="22"/>
        </w:rPr>
      </w:pPr>
      <w:r>
        <w:rPr>
          <w:rFonts w:cs="Calibri" w:cstheme="minorHAnsi" w:ascii="Calibri" w:hAnsi="Calibri"/>
          <w:sz w:val="22"/>
          <w:szCs w:val="22"/>
        </w:rPr>
      </w:r>
    </w:p>
    <w:p>
      <w:pPr>
        <w:pStyle w:val="Titolo3"/>
        <w:widowControl w:val="false"/>
        <w:numPr>
          <w:ilvl w:val="0"/>
          <w:numId w:val="1"/>
        </w:numPr>
        <w:jc w:val="both"/>
        <w:rPr>
          <w:rFonts w:ascii="Calibri" w:hAnsi="Calibri" w:cs="Calibri" w:asciiTheme="minorHAnsi" w:cstheme="minorHAnsi" w:hAnsiTheme="minorHAnsi"/>
          <w:sz w:val="22"/>
          <w:szCs w:val="22"/>
        </w:rPr>
      </w:pPr>
      <w:bookmarkStart w:id="22" w:name="EcoRetValAttFin"/>
      <w:bookmarkStart w:id="23" w:name="Copia_di_EcoProOneFin_1"/>
      <w:bookmarkEnd w:id="22"/>
      <w:bookmarkEnd w:id="23"/>
      <w:r>
        <w:rPr>
          <w:rFonts w:cs="Calibri" w:ascii="Calibri" w:hAnsi="Calibri" w:asciiTheme="minorHAnsi" w:cstheme="minorHAnsi" w:hAnsiTheme="minorHAnsi"/>
          <w:i/>
          <w:sz w:val="22"/>
          <w:szCs w:val="22"/>
        </w:rPr>
        <w:t>RETTIFICHE DI VALORE DI ATTIVITA’ FINANZIARIE</w:t>
      </w:r>
    </w:p>
    <w:p>
      <w:pPr>
        <w:pStyle w:val="WW-Rientronormale"/>
        <w:widowControl w:val="false"/>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Non risultano iscritte rettifiche di valore di attività finanziarie. </w:t>
      </w:r>
      <w:bookmarkStart w:id="24" w:name="EcoProOneStr"/>
    </w:p>
    <w:p>
      <w:pPr>
        <w:pStyle w:val="Normal"/>
        <w:widowControl w:val="false"/>
        <w:spacing w:lineRule="exact" w:line="240"/>
        <w:rPr>
          <w:rFonts w:ascii="Calibri" w:hAnsi="Calibri" w:cs="Calibri" w:asciiTheme="minorHAnsi" w:cstheme="minorHAnsi" w:hAnsiTheme="minorHAnsi"/>
          <w:b/>
          <w:bCs/>
          <w:color w:val="00000A"/>
          <w:sz w:val="22"/>
          <w:szCs w:val="22"/>
        </w:rPr>
      </w:pPr>
      <w:r>
        <w:rPr>
          <w:rFonts w:cs="Calibri" w:cstheme="minorHAnsi" w:ascii="Calibri" w:hAnsi="Calibri"/>
          <w:b/>
          <w:bCs/>
          <w:color w:val="00000A"/>
          <w:sz w:val="22"/>
          <w:szCs w:val="22"/>
        </w:rPr>
      </w:r>
    </w:p>
    <w:p>
      <w:pPr>
        <w:pStyle w:val="Normal"/>
        <w:widowControl w:val="false"/>
        <w:jc w:val="both"/>
        <w:rPr>
          <w:rFonts w:ascii="Calibri" w:hAnsi="Calibri" w:cs="Calibri" w:asciiTheme="minorHAnsi" w:cstheme="minorHAnsi" w:hAnsiTheme="minorHAnsi"/>
          <w:sz w:val="22"/>
          <w:szCs w:val="22"/>
        </w:rPr>
      </w:pPr>
      <w:bookmarkStart w:id="25" w:name="Copia_di_EcoRetValAttFin_1"/>
      <w:bookmarkEnd w:id="24"/>
      <w:bookmarkEnd w:id="25"/>
      <w:r>
        <w:rPr>
          <w:rFonts w:cs="Calibri" w:ascii="Calibri" w:hAnsi="Calibri" w:asciiTheme="minorHAnsi" w:cstheme="minorHAnsi" w:hAnsiTheme="minorHAnsi"/>
          <w:b/>
          <w:i/>
          <w:sz w:val="22"/>
          <w:szCs w:val="22"/>
        </w:rPr>
        <w:t>IMPOSTE SUL REDDITO DI ESERCIZIO</w:t>
      </w:r>
    </w:p>
    <w:p>
      <w:pPr>
        <w:pStyle w:val="WW-Rientronormale"/>
        <w:widowControl w:val="false"/>
        <w:ind w:left="0"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In merito alla determinazione delle imposte sui redditi a carico dell’esercizio e ai criteri di classificazione delle risultanze dell’attività della SDS, si rimanda alle indicazioni contenute nella parte introduttiva della presente nota integrativa, precisando che l’anno d’imposta oggetto della presente nota vede l’ente nella veste di ente commerciale di cui all’art. 73, comma 1, lett. b) del Dpr. 917/1986, seppure gli obiettivi dell’attività risultino in via esclusiva finalizzati all’attività istituzionale della SDS in ragione della legge istitutiva. </w:t>
      </w:r>
    </w:p>
    <w:p>
      <w:pPr>
        <w:pStyle w:val="WW-Rientronormale"/>
        <w:widowControl w:val="false"/>
        <w:ind w:left="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Rientronormale"/>
        <w:widowControl w:val="false"/>
        <w:ind w:left="0"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Di conseguenza è necessario prevedere, per l’anno 2025, imposte agli effetti IRES a carico dell'esercizio in questione pari a 4.348€ determinata sulla base del risultato rilevanti agli effetti fiscali che tiene conto dell'indeducibilità IRAP e degli altri componenti indeducibili ai fini fiscali, mentre agli effetti IRAP, si prevede imposta per un importo pari a 19.094€ unicamente legata all’applicazione del metodo produttivo ai sensi dell’art. 5 del D.lgs. 446/1997.</w:t>
      </w:r>
    </w:p>
    <w:p>
      <w:pPr>
        <w:pStyle w:val="WW-Rientronormale"/>
        <w:widowControl w:val="false"/>
        <w:ind w:left="0" w:hanging="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Testonormale"/>
        <w:widowControl w:val="false"/>
        <w:jc w:val="both"/>
        <w:rPr>
          <w:rFonts w:ascii="Calibri" w:hAnsi="Calibri" w:cs="Calibri" w:asciiTheme="minorHAnsi" w:cstheme="minorHAnsi" w:hAnsiTheme="minorHAnsi"/>
          <w:b/>
          <w:i/>
          <w:i/>
          <w:sz w:val="22"/>
          <w:szCs w:val="22"/>
        </w:rPr>
      </w:pPr>
      <w:r>
        <w:rPr>
          <w:rFonts w:cs="Calibri" w:cstheme="minorHAnsi" w:ascii="Calibri" w:hAnsi="Calibri"/>
          <w:b/>
          <w:i/>
          <w:sz w:val="22"/>
          <w:szCs w:val="22"/>
        </w:rPr>
      </w:r>
    </w:p>
    <w:p>
      <w:pPr>
        <w:pStyle w:val="WW-Testonormale"/>
        <w:widowControl w:val="false"/>
        <w:jc w:val="both"/>
        <w:rPr>
          <w:rFonts w:ascii="Calibri" w:hAnsi="Calibri" w:cs="Calibri" w:asciiTheme="minorHAnsi" w:cstheme="minorHAnsi" w:hAnsiTheme="minorHAnsi"/>
          <w:lang w:eastAsia="it-IT"/>
        </w:rPr>
      </w:pPr>
      <w:r>
        <w:fldChar w:fldCharType="begin"/>
      </w:r>
      <w:r>
        <w:rPr>
          <w:rFonts w:ascii="Calibri" w:hAnsi="Calibri"/>
        </w:rPr>
        <w:instrText xml:space="preserve">LINK Excel.Sheet.12 "F:\\DA COPIARE\\SDS VALDICHIANA\\TABELLE NOTA INTEGRATIVA2025_08.06.26.xlsx" "conto economico !R181C1:R185C4" \a \f 4 \h  \* MERGEFORMAT</w:instrText>
      </w:r>
      <w:r>
        <w:rPr>
          <w:rFonts w:ascii="Calibri" w:hAnsi="Calibri"/>
        </w:rPr>
      </w:r>
      <w:r>
        <w:rPr>
          <w:rFonts w:ascii="Calibri" w:hAnsi="Calibri"/>
        </w:rPr>
        <w:fldChar w:fldCharType="separate"/>
      </w:r>
      <w:r/>
      <w:r>
        <w:rPr>
          <w:rFonts w:ascii="Calibri" w:hAnsi="Calibri"/>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2218"/>
        <w:gridCol w:w="2719"/>
        <w:gridCol w:w="2717"/>
        <w:gridCol w:w="1983"/>
      </w:tblGrid>
      <w:tr>
        <w:trPr>
          <w:trHeight w:val="170" w:hRule="atLeast"/>
        </w:trPr>
        <w:tc>
          <w:tcPr>
            <w:tcW w:w="9637" w:type="dxa"/>
            <w:gridSpan w:val="4"/>
            <w:tcBorders>
              <w:top w:val="single" w:sz="4" w:space="0" w:color="000000"/>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IMPOSTE</w:t>
            </w:r>
          </w:p>
        </w:tc>
      </w:tr>
      <w:tr>
        <w:trPr>
          <w:trHeight w:val="170" w:hRule="atLeast"/>
        </w:trPr>
        <w:tc>
          <w:tcPr>
            <w:tcW w:w="2218" w:type="dxa"/>
            <w:tcBorders>
              <w:left w:val="single" w:sz="4" w:space="0" w:color="000000"/>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Descrizione</w:t>
            </w:r>
          </w:p>
        </w:tc>
        <w:tc>
          <w:tcPr>
            <w:tcW w:w="2719"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31/12/2025</w:t>
            </w:r>
          </w:p>
        </w:tc>
        <w:tc>
          <w:tcPr>
            <w:tcW w:w="2717"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Al 31/12/2024</w:t>
            </w:r>
          </w:p>
        </w:tc>
        <w:tc>
          <w:tcPr>
            <w:tcW w:w="1983" w:type="dxa"/>
            <w:tcBorders>
              <w:bottom w:val="single" w:sz="4" w:space="0" w:color="000000"/>
              <w:right w:val="single" w:sz="4" w:space="0" w:color="000000"/>
            </w:tcBorders>
            <w:shd w:color="FFFFFF" w:fill="F2F2F2" w:val="clear"/>
            <w:vAlign w:val="center"/>
          </w:tcPr>
          <w:p>
            <w:pPr>
              <w:pStyle w:val="Normal"/>
              <w:widowControl w:val="false"/>
              <w:suppressAutoHyphens w:val="false"/>
              <w:jc w:val="center"/>
              <w:rPr>
                <w:rFonts w:ascii="Calibri" w:hAnsi="Calibri" w:cs="Calibri" w:asciiTheme="minorHAnsi" w:cstheme="minorHAnsi" w:hAnsiTheme="minorHAnsi"/>
                <w:b/>
                <w:bCs/>
                <w:i/>
                <w:i/>
                <w:iCs/>
                <w:color w:val="000000"/>
                <w:lang w:eastAsia="it-IT"/>
              </w:rPr>
            </w:pPr>
            <w:r>
              <w:rPr>
                <w:rFonts w:cs="Calibri" w:ascii="Calibri" w:hAnsi="Calibri" w:asciiTheme="minorHAnsi" w:cstheme="minorHAnsi" w:hAnsiTheme="minorHAnsi"/>
                <w:b/>
                <w:bCs/>
                <w:i/>
                <w:iCs/>
                <w:color w:val="000000"/>
                <w:lang w:eastAsia="it-IT"/>
              </w:rPr>
              <w:t>Variazioni</w:t>
            </w:r>
          </w:p>
        </w:tc>
      </w:tr>
      <w:tr>
        <w:trPr>
          <w:trHeight w:val="170" w:hRule="atLeast"/>
        </w:trPr>
        <w:tc>
          <w:tcPr>
            <w:tcW w:w="221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Irap</w:t>
            </w:r>
          </w:p>
        </w:tc>
        <w:tc>
          <w:tcPr>
            <w:tcW w:w="271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19.094</w:t>
            </w:r>
          </w:p>
        </w:tc>
        <w:tc>
          <w:tcPr>
            <w:tcW w:w="2717"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6.979</w:t>
            </w:r>
          </w:p>
        </w:tc>
        <w:tc>
          <w:tcPr>
            <w:tcW w:w="198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12.115</w:t>
            </w:r>
          </w:p>
        </w:tc>
      </w:tr>
      <w:tr>
        <w:trPr>
          <w:trHeight w:val="170" w:hRule="atLeast"/>
        </w:trPr>
        <w:tc>
          <w:tcPr>
            <w:tcW w:w="221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Ires</w:t>
            </w:r>
          </w:p>
        </w:tc>
        <w:tc>
          <w:tcPr>
            <w:tcW w:w="271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4.348</w:t>
            </w:r>
          </w:p>
        </w:tc>
        <w:tc>
          <w:tcPr>
            <w:tcW w:w="2717"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c>
          <w:tcPr>
            <w:tcW w:w="198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4.348</w:t>
            </w:r>
          </w:p>
        </w:tc>
      </w:tr>
      <w:tr>
        <w:trPr>
          <w:trHeight w:val="170" w:hRule="atLeast"/>
        </w:trPr>
        <w:tc>
          <w:tcPr>
            <w:tcW w:w="2218" w:type="dxa"/>
            <w:tcBorders>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c>
          <w:tcPr>
            <w:tcW w:w="2719"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23.442</w:t>
            </w:r>
          </w:p>
        </w:tc>
        <w:tc>
          <w:tcPr>
            <w:tcW w:w="2717"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6.979</w:t>
            </w:r>
          </w:p>
        </w:tc>
        <w:tc>
          <w:tcPr>
            <w:tcW w:w="1983"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16.463</w:t>
            </w:r>
          </w:p>
        </w:tc>
      </w:tr>
    </w:tbl>
    <w:p>
      <w:pPr>
        <w:pStyle w:val="WW-Testonormale"/>
        <w:widowControl w:val="false"/>
        <w:jc w:val="both"/>
        <w:rPr>
          <w:rFonts w:ascii="Calibri" w:hAnsi="Calibri" w:cs="Calibri" w:asciiTheme="minorHAnsi" w:cstheme="minorHAnsi" w:hAnsiTheme="minorHAnsi"/>
          <w:bCs/>
          <w:iCs/>
          <w:sz w:val="22"/>
          <w:szCs w:val="22"/>
        </w:rPr>
      </w:pPr>
      <w:r/>
      <w:r>
        <w:rPr>
          <w:rFonts w:ascii="Calibri" w:hAnsi="Calibri"/>
        </w:rPr>
        <w:fldChar w:fldCharType="end"/>
      </w:r>
      <w:r>
        <w:rPr>
          <w:rFonts w:ascii="Calibri" w:hAnsi="Calibri"/>
        </w:rPr>
      </w:r>
    </w:p>
    <w:p>
      <w:pPr>
        <w:pStyle w:val="WW-Testonormale"/>
        <w:widowControl w:val="false"/>
        <w:jc w:val="both"/>
        <w:rPr>
          <w:rFonts w:ascii="Calibri" w:hAnsi="Calibri" w:cs="Calibri" w:asciiTheme="minorHAnsi" w:cstheme="minorHAnsi" w:hAnsiTheme="minorHAnsi"/>
          <w:bCs/>
          <w:iCs/>
          <w:sz w:val="22"/>
          <w:szCs w:val="22"/>
        </w:rPr>
      </w:pPr>
      <w:r>
        <w:rPr>
          <w:rFonts w:cs="Calibri" w:ascii="Calibri" w:hAnsi="Calibri" w:asciiTheme="minorHAnsi" w:cstheme="minorHAnsi" w:hAnsiTheme="minorHAnsi"/>
          <w:bCs/>
          <w:iCs/>
          <w:sz w:val="22"/>
          <w:szCs w:val="22"/>
        </w:rPr>
        <w:t>Come segnalato nella parte introduttiva nell’anno d’imposta 2026 la SDS si collocherà, in linea con gli indirizzi regionali all’interno degli enti non commerciali di cui all’art. 73, comma 1, lett. c) del Dpr. 917/1986 con i conseguenti effetti agli effetti IRES e IRAP.</w:t>
      </w:r>
    </w:p>
    <w:p>
      <w:pPr>
        <w:pStyle w:val="WW-Testonormale"/>
        <w:widowControl w:val="false"/>
        <w:jc w:val="both"/>
        <w:rPr>
          <w:rFonts w:ascii="Calibri" w:hAnsi="Calibri" w:cs="Calibri" w:asciiTheme="minorHAnsi" w:cstheme="minorHAnsi" w:hAnsiTheme="minorHAnsi"/>
          <w:bCs/>
          <w:iCs/>
          <w:sz w:val="22"/>
          <w:szCs w:val="22"/>
        </w:rPr>
      </w:pPr>
      <w:r>
        <w:rPr>
          <w:rFonts w:cs="Calibri" w:cstheme="minorHAnsi" w:ascii="Calibri" w:hAnsi="Calibri"/>
          <w:bCs/>
          <w:iCs/>
          <w:sz w:val="22"/>
          <w:szCs w:val="22"/>
        </w:rPr>
      </w:r>
    </w:p>
    <w:p>
      <w:pPr>
        <w:pStyle w:val="WW-Testonormale"/>
        <w:widowControl w:val="false"/>
        <w:jc w:val="both"/>
        <w:rPr>
          <w:rFonts w:ascii="Calibri" w:hAnsi="Calibri" w:cs="Calibri" w:asciiTheme="minorHAnsi" w:cstheme="minorHAnsi" w:hAnsiTheme="minorHAnsi"/>
          <w:bCs/>
          <w:iCs/>
          <w:sz w:val="22"/>
          <w:szCs w:val="22"/>
        </w:rPr>
      </w:pPr>
      <w:r>
        <w:rPr>
          <w:rFonts w:cs="Calibri" w:cstheme="minorHAnsi" w:ascii="Calibri" w:hAnsi="Calibri"/>
          <w:bCs/>
          <w:iCs/>
          <w:sz w:val="22"/>
          <w:szCs w:val="22"/>
        </w:rPr>
      </w:r>
    </w:p>
    <w:p>
      <w:pPr>
        <w:pStyle w:val="WW-Testonormale"/>
        <w:widowControl w:val="false"/>
        <w:jc w:val="both"/>
        <w:rPr>
          <w:rFonts w:ascii="Calibri" w:hAnsi="Calibri" w:cs="Calibri" w:asciiTheme="minorHAnsi" w:cstheme="minorHAnsi" w:hAnsiTheme="minorHAnsi"/>
          <w:b/>
          <w:i/>
          <w:i/>
          <w:sz w:val="22"/>
          <w:szCs w:val="22"/>
        </w:rPr>
      </w:pPr>
      <w:r>
        <w:rPr>
          <w:rFonts w:cs="Calibri" w:cstheme="minorHAnsi" w:ascii="Calibri" w:hAnsi="Calibri"/>
          <w:b/>
          <w:i/>
          <w:sz w:val="22"/>
          <w:szCs w:val="22"/>
        </w:rPr>
      </w:r>
    </w:p>
    <w:p>
      <w:pPr>
        <w:pStyle w:val="WW-Testonormale"/>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i/>
          <w:sz w:val="22"/>
          <w:szCs w:val="22"/>
        </w:rPr>
        <w:t>RISULTATO D’ESERCIZIO</w:t>
      </w:r>
    </w:p>
    <w:p>
      <w:pPr>
        <w:pStyle w:val="Default"/>
        <w:jc w:val="both"/>
        <w:rPr>
          <w:rFonts w:ascii="Calibri" w:hAnsi="Calibri" w:cs="Calibri" w:asciiTheme="minorHAnsi" w:cstheme="minorHAnsi" w:hAnsiTheme="minorHAnsi"/>
          <w:b/>
          <w:bCs/>
          <w:color w:val="auto"/>
          <w:sz w:val="22"/>
          <w:szCs w:val="22"/>
          <w:lang w:val="it-IT"/>
        </w:rPr>
      </w:pPr>
      <w:r>
        <w:rPr>
          <w:rFonts w:cs="Calibri" w:ascii="Calibri" w:hAnsi="Calibri" w:asciiTheme="minorHAnsi" w:cstheme="minorHAnsi" w:hAnsiTheme="minorHAnsi"/>
          <w:color w:val="auto"/>
          <w:sz w:val="22"/>
          <w:szCs w:val="22"/>
          <w:lang w:val="it-IT"/>
        </w:rPr>
        <w:t>Visto il risultato positivo di esercizio pari a 54.965€, si rinvia alla relazione del Direttore della SDS per le modalità di ripristino dell’equilibrio della gestione in conformità alle previsioni statutarie e alle decisioni che potranno essere assunte dall’assemblea degli aderenti alla SDS.</w:t>
      </w:r>
      <w:r>
        <w:rPr>
          <w:rFonts w:cs="Calibri" w:ascii="Calibri" w:hAnsi="Calibri" w:asciiTheme="minorHAnsi" w:cstheme="minorHAnsi" w:hAnsiTheme="minorHAnsi"/>
          <w:i/>
          <w:iCs/>
          <w:color w:val="auto"/>
          <w:sz w:val="22"/>
          <w:szCs w:val="22"/>
          <w:lang w:val="it-IT" w:eastAsia="it-IT"/>
        </w:rPr>
        <w:t xml:space="preserve"> </w:t>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b/>
          <w:bCs/>
          <w:i/>
          <w:i/>
          <w:iCs/>
          <w:sz w:val="22"/>
          <w:szCs w:val="22"/>
        </w:rPr>
      </w:pPr>
      <w:r>
        <w:rPr>
          <w:rFonts w:cs="Calibri" w:cstheme="minorHAnsi" w:ascii="Calibri" w:hAnsi="Calibri"/>
          <w:b/>
          <w:bCs/>
          <w:i/>
          <w:iCs/>
          <w:sz w:val="22"/>
          <w:szCs w:val="22"/>
        </w:rPr>
      </w:r>
    </w:p>
    <w:p>
      <w:pPr>
        <w:pStyle w:val="Normal"/>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bCs/>
          <w:i/>
          <w:iCs/>
          <w:sz w:val="22"/>
          <w:szCs w:val="22"/>
        </w:rPr>
        <w:t>Prospetto Dimostrativo del Conto Economico del Fondo della Non Autosufficienza</w:t>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Per un adeguamento agli indirizzi formati dalla Delibera della Giunta Regionale n. 1265 del 28/12/2009 la cui valenza è stabilita a decorrere dal bilancio dell'esercizio dell'anno precedente, di seguito si riportano i dati sintetici dell'evoluzione economica del Fondo della Non autosufficienza anno 2025.</w:t>
      </w:r>
    </w:p>
    <w:p>
      <w:pPr>
        <w:pStyle w:val="Normal"/>
        <w:widowControl w:val="false"/>
        <w:jc w:val="both"/>
        <w:rPr>
          <w:rFonts w:ascii="Calibri" w:hAnsi="Calibri" w:cs="Calibri" w:asciiTheme="minorHAnsi" w:cstheme="minorHAnsi" w:hAnsiTheme="minorHAnsi"/>
          <w:lang w:eastAsia="it-IT"/>
        </w:rPr>
      </w:pPr>
      <w:r>
        <w:fldChar w:fldCharType="begin"/>
      </w:r>
      <w:r>
        <w:rPr>
          <w:rFonts w:ascii="Calibri" w:hAnsi="Calibri"/>
        </w:rPr>
        <w:instrText xml:space="preserve">LINK Excel.Sheet.12 "F:\\DA COPIARE\\SDS VALDICHIANA\\TABELLE NOTA INTEGRATIVA2025_08.06.26.xlsx" "FNA2 !R1C1:R20C2" \a \f 4 \h  \* MERGEFORMAT</w:instrText>
      </w:r>
      <w:r>
        <w:rPr>
          <w:rFonts w:ascii="Calibri" w:hAnsi="Calibri"/>
        </w:rPr>
      </w:r>
      <w:r>
        <w:rPr>
          <w:rFonts w:ascii="Calibri" w:hAnsi="Calibri"/>
        </w:rPr>
        <w:fldChar w:fldCharType="separate"/>
      </w:r>
      <w:r/>
      <w:r>
        <w:rPr>
          <w:rFonts w:ascii="Calibri" w:hAnsi="Calibri"/>
        </w:rPr>
      </w:r>
    </w:p>
    <w:tbl>
      <w:tblPr>
        <w:tblW w:w="5000" w:type="pct"/>
        <w:jc w:val="left"/>
        <w:tblInd w:w="75" w:type="dxa"/>
        <w:tblLayout w:type="fixed"/>
        <w:tblCellMar>
          <w:top w:w="0" w:type="dxa"/>
          <w:left w:w="70" w:type="dxa"/>
          <w:bottom w:w="0" w:type="dxa"/>
          <w:right w:w="70" w:type="dxa"/>
        </w:tblCellMar>
        <w:tblLook w:firstRow="1" w:noVBand="1" w:lastRow="0" w:firstColumn="1" w:lastColumn="0" w:noHBand="0" w:val="04a0"/>
      </w:tblPr>
      <w:tblGrid>
        <w:gridCol w:w="8226"/>
        <w:gridCol w:w="1411"/>
      </w:tblGrid>
      <w:tr>
        <w:trPr>
          <w:trHeight w:val="20" w:hRule="atLeast"/>
        </w:trPr>
        <w:tc>
          <w:tcPr>
            <w:tcW w:w="82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Valore della produzione</w:t>
            </w:r>
          </w:p>
        </w:tc>
        <w:tc>
          <w:tcPr>
            <w:tcW w:w="1411" w:type="dxa"/>
            <w:tcBorders>
              <w:top w:val="single" w:sz="4" w:space="0" w:color="000000"/>
              <w:bottom w:val="single" w:sz="4" w:space="0" w:color="000000"/>
              <w:right w:val="single" w:sz="4" w:space="0" w:color="000000"/>
            </w:tcBorders>
            <w:vAlign w:val="center"/>
          </w:tcPr>
          <w:p>
            <w:pPr>
              <w:pStyle w:val="Normal"/>
              <w:widowControl w:val="false"/>
              <w:suppressAutoHyphens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Importi</w:t>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i/>
                <w:i/>
                <w:iCs/>
                <w:color w:val="000000"/>
                <w:lang w:eastAsia="it-IT"/>
              </w:rPr>
            </w:pPr>
            <w:r>
              <w:rPr>
                <w:rFonts w:cs="Calibri" w:ascii="Calibri" w:hAnsi="Calibri" w:asciiTheme="minorHAnsi" w:cstheme="minorHAnsi" w:hAnsiTheme="minorHAnsi"/>
                <w:i/>
                <w:iCs/>
                <w:color w:val="000000"/>
                <w:lang w:eastAsia="it-IT"/>
              </w:rPr>
              <w:t>Contributi in c/esercizio</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Contributi da regione</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1.464.937</w:t>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1.464.937</w:t>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Costi della produzione</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Servizi non sanitari da settore pubblico</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Costi per prestazioni di assist. residenziale ad anziani - quota sanitaria</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Costi per rette semiresidenziali anziani da sett. Pubblico quota sociale</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0</w:t>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 Servizi non sanitari da settore pubblico</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0</w:t>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Servizi non sanitari da settore privato</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Costi per servizi sociali a convenzione rivolti ad anziani</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715.084</w:t>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Costi per servizi sociali a convenzione per disabili</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321.305</w:t>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Costi per sussidi ad anziani</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389.213</w:t>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Costi per sussidi a disabili</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39.335</w:t>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Costi per trasporti sociali</w:t>
            </w:r>
          </w:p>
        </w:tc>
        <w:tc>
          <w:tcPr>
            <w:tcW w:w="1411" w:type="dxa"/>
            <w:tcBorders>
              <w:bottom w:val="single" w:sz="4" w:space="0" w:color="000000"/>
              <w:right w:val="single" w:sz="4" w:space="0" w:color="000000"/>
            </w:tcBorders>
            <w:vAlign w:val="bottom"/>
          </w:tcPr>
          <w:p>
            <w:pPr>
              <w:pStyle w:val="Normal"/>
              <w:widowControl w:val="false"/>
              <w:suppressAutoHyphens w:val="false"/>
              <w:rPr>
                <w:rFonts w:ascii="Calibri" w:hAnsi="Calibri" w:cs="Calibri" w:asciiTheme="minorHAnsi" w:cstheme="minorHAnsi" w:hAnsiTheme="minorHAnsi"/>
                <w:b/>
                <w:bCs/>
                <w:lang w:eastAsia="it-IT"/>
              </w:rPr>
            </w:pPr>
            <w:r>
              <w:rPr/>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 Servizi non sanitari da settore privato</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1.464.937</w:t>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Oneri diversi di gestione</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Costo per trasferimento risorse bilancio Asl</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color w:val="000000"/>
                <w:lang w:eastAsia="it-IT"/>
              </w:rPr>
            </w:pPr>
            <w:r>
              <w:rPr/>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 Oneri diversi di gestione</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0</w:t>
            </w:r>
          </w:p>
        </w:tc>
      </w:tr>
      <w:tr>
        <w:trPr>
          <w:trHeight w:val="20" w:hRule="atLeast"/>
        </w:trPr>
        <w:tc>
          <w:tcPr>
            <w:tcW w:w="8226"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suppressAutoHyphens w:val="false"/>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 Costi della produzione</w:t>
            </w:r>
          </w:p>
        </w:tc>
        <w:tc>
          <w:tcPr>
            <w:tcW w:w="1411" w:type="dxa"/>
            <w:tcBorders>
              <w:bottom w:val="single" w:sz="4" w:space="0" w:color="000000"/>
              <w:right w:val="single" w:sz="4" w:space="0" w:color="000000"/>
            </w:tcBorders>
            <w:vAlign w:val="center"/>
          </w:tcPr>
          <w:p>
            <w:pPr>
              <w:pStyle w:val="Normal"/>
              <w:widowControl w:val="false"/>
              <w:suppressAutoHyphens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1.464.937</w:t>
            </w:r>
          </w:p>
        </w:tc>
      </w:tr>
    </w:tbl>
    <w:p>
      <w:pPr>
        <w:pStyle w:val="Normal"/>
        <w:widowControl w:val="false"/>
        <w:jc w:val="both"/>
        <w:rPr>
          <w:rFonts w:ascii="Calibri" w:hAnsi="Calibri" w:cs="Calibri" w:asciiTheme="minorHAnsi" w:cstheme="minorHAnsi" w:hAnsiTheme="minorHAnsi"/>
          <w:sz w:val="22"/>
          <w:szCs w:val="22"/>
        </w:rPr>
      </w:pPr>
      <w:r/>
      <w:r>
        <w:rPr>
          <w:rFonts w:ascii="Calibri" w:hAnsi="Calibri"/>
        </w:rPr>
        <w:fldChar w:fldCharType="end"/>
      </w:r>
      <w:r>
        <w:rPr>
          <w:rFonts w:ascii="Calibri" w:hAnsi="Calibri"/>
        </w:rPr>
      </w:r>
    </w:p>
    <w:p>
      <w:pPr>
        <w:pStyle w:val="Normal"/>
        <w:widowControl w:val="false"/>
        <w:jc w:val="both"/>
        <w:rPr>
          <w:rFonts w:ascii="Calibri" w:hAnsi="Calibri" w:cs="Calibri" w:asciiTheme="minorHAnsi" w:cstheme="minorHAnsi" w:hAnsiTheme="minorHAnsi"/>
          <w:b/>
          <w:bCs/>
          <w:color w:val="000000"/>
          <w:sz w:val="22"/>
          <w:szCs w:val="22"/>
          <w:lang w:eastAsia="it-IT"/>
        </w:rPr>
      </w:pPr>
      <w:r>
        <w:rPr>
          <w:rFonts w:cs="Calibri" w:ascii="Calibri" w:hAnsi="Calibri" w:asciiTheme="minorHAnsi" w:cstheme="minorHAnsi" w:hAnsiTheme="minorHAnsi"/>
          <w:b/>
          <w:bCs/>
          <w:color w:val="000000"/>
          <w:sz w:val="22"/>
          <w:szCs w:val="22"/>
          <w:lang w:eastAsia="it-IT"/>
        </w:rPr>
        <w:t>Contributi in conto esercizio</w:t>
      </w:r>
    </w:p>
    <w:p>
      <w:pPr>
        <w:pStyle w:val="Normal"/>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tbl>
      <w:tblPr>
        <w:tblW w:w="5000" w:type="pct"/>
        <w:jc w:val="left"/>
        <w:tblInd w:w="113" w:type="dxa"/>
        <w:tblLayout w:type="fixed"/>
        <w:tblCellMar>
          <w:top w:w="0" w:type="dxa"/>
          <w:left w:w="108" w:type="dxa"/>
          <w:bottom w:w="0" w:type="dxa"/>
          <w:right w:w="108" w:type="dxa"/>
        </w:tblCellMar>
        <w:tblLook w:firstRow="1" w:noVBand="1" w:lastRow="0" w:firstColumn="1" w:lastColumn="0" w:noHBand="0" w:val="04a0"/>
      </w:tblPr>
      <w:tblGrid>
        <w:gridCol w:w="3260"/>
        <w:gridCol w:w="2133"/>
        <w:gridCol w:w="2447"/>
        <w:gridCol w:w="1797"/>
      </w:tblGrid>
      <w:tr>
        <w:trPr>
          <w:trHeight w:val="20" w:hRule="atLeast"/>
        </w:trPr>
        <w:tc>
          <w:tcPr>
            <w:tcW w:w="3260"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Soggetto erogatore</w:t>
            </w:r>
          </w:p>
        </w:tc>
        <w:tc>
          <w:tcPr>
            <w:tcW w:w="2133"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Quota sanitaria</w:t>
            </w:r>
          </w:p>
        </w:tc>
        <w:tc>
          <w:tcPr>
            <w:tcW w:w="2447"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Quota sociale</w:t>
            </w:r>
          </w:p>
        </w:tc>
        <w:tc>
          <w:tcPr>
            <w:tcW w:w="1797"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r>
      <w:tr>
        <w:trPr>
          <w:trHeight w:val="20" w:hRule="atLeast"/>
        </w:trPr>
        <w:tc>
          <w:tcPr>
            <w:tcW w:w="32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Ausl Consorziate</w:t>
            </w:r>
          </w:p>
        </w:tc>
        <w:tc>
          <w:tcPr>
            <w:tcW w:w="2133" w:type="dxa"/>
            <w:tcBorders>
              <w:top w:val="single" w:sz="4" w:space="0" w:color="000000"/>
              <w:left w:val="single" w:sz="4" w:space="0" w:color="000000"/>
              <w:bottom w:val="single" w:sz="4" w:space="0" w:color="000000"/>
              <w:right w:val="single" w:sz="4" w:space="0" w:color="000000"/>
            </w:tcBorders>
            <w:shd w:color="F2F2F2" w:fill="FFFFFF" w:val="clear"/>
            <w:vAlign w:val="center"/>
          </w:tcPr>
          <w:p>
            <w:pPr>
              <w:pStyle w:val="Normal"/>
              <w:widowControl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rPr>
              <w:t xml:space="preserve">                     </w:t>
            </w:r>
            <w:r>
              <w:rPr>
                <w:rFonts w:cs="Calibri" w:ascii="Calibri" w:hAnsi="Calibri" w:asciiTheme="minorHAnsi" w:cstheme="minorHAnsi" w:hAnsiTheme="minorHAnsi"/>
                <w:color w:val="000000"/>
              </w:rPr>
              <w:t>-</w:t>
            </w:r>
          </w:p>
        </w:tc>
        <w:tc>
          <w:tcPr>
            <w:tcW w:w="2447" w:type="dxa"/>
            <w:tcBorders>
              <w:top w:val="single" w:sz="4" w:space="0" w:color="000000"/>
              <w:bottom w:val="single" w:sz="4" w:space="0" w:color="000000"/>
              <w:right w:val="single" w:sz="4" w:space="0" w:color="000000"/>
            </w:tcBorders>
            <w:shd w:color="F2F2F2" w:fill="FFFFFF" w:val="clear"/>
            <w:vAlign w:val="center"/>
          </w:tcPr>
          <w:p>
            <w:pPr>
              <w:pStyle w:val="Normal"/>
              <w:widowControl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rPr>
              <w:t xml:space="preserve">                      </w:t>
            </w:r>
            <w:r>
              <w:rPr>
                <w:rFonts w:cs="Calibri" w:ascii="Calibri" w:hAnsi="Calibri" w:asciiTheme="minorHAnsi" w:cstheme="minorHAnsi" w:hAnsiTheme="minorHAnsi"/>
                <w:color w:val="000000"/>
              </w:rPr>
              <w:t>-</w:t>
            </w:r>
          </w:p>
        </w:tc>
        <w:tc>
          <w:tcPr>
            <w:tcW w:w="1797" w:type="dxa"/>
            <w:tcBorders>
              <w:top w:val="single" w:sz="4" w:space="0" w:color="000000"/>
              <w:bottom w:val="single" w:sz="4" w:space="0" w:color="000000"/>
              <w:right w:val="single" w:sz="4" w:space="0" w:color="000000"/>
            </w:tcBorders>
            <w:shd w:color="F2F2F2" w:fill="FFFFFF" w:val="clear"/>
            <w:vAlign w:val="center"/>
          </w:tcPr>
          <w:p>
            <w:pPr>
              <w:pStyle w:val="Normal"/>
              <w:widowControl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rPr>
              <w:t xml:space="preserve">                      </w:t>
            </w:r>
            <w:r>
              <w:rPr>
                <w:rFonts w:cs="Calibri" w:ascii="Calibri" w:hAnsi="Calibri" w:asciiTheme="minorHAnsi" w:cstheme="minorHAnsi" w:hAnsiTheme="minorHAnsi"/>
                <w:color w:val="000000"/>
              </w:rPr>
              <w:t>-</w:t>
            </w:r>
          </w:p>
        </w:tc>
      </w:tr>
      <w:tr>
        <w:trPr>
          <w:trHeight w:val="20" w:hRule="atLeast"/>
        </w:trPr>
        <w:tc>
          <w:tcPr>
            <w:tcW w:w="32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Regione Toscana</w:t>
            </w:r>
          </w:p>
        </w:tc>
        <w:tc>
          <w:tcPr>
            <w:tcW w:w="2133"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rPr>
              <w:t>0</w:t>
            </w:r>
          </w:p>
        </w:tc>
        <w:tc>
          <w:tcPr>
            <w:tcW w:w="2447" w:type="dxa"/>
            <w:tcBorders>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1.464.937</w:t>
            </w:r>
          </w:p>
        </w:tc>
        <w:tc>
          <w:tcPr>
            <w:tcW w:w="1797" w:type="dxa"/>
            <w:tcBorders>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1.464.937</w:t>
            </w:r>
          </w:p>
        </w:tc>
      </w:tr>
      <w:tr>
        <w:trPr>
          <w:trHeight w:val="20" w:hRule="atLeast"/>
        </w:trPr>
        <w:tc>
          <w:tcPr>
            <w:tcW w:w="32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Comuni Consorziati</w:t>
            </w:r>
          </w:p>
        </w:tc>
        <w:tc>
          <w:tcPr>
            <w:tcW w:w="2133"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rPr>
              <w:t xml:space="preserve">                     </w:t>
            </w:r>
            <w:r>
              <w:rPr>
                <w:rFonts w:cs="Calibri" w:ascii="Calibri" w:hAnsi="Calibri" w:asciiTheme="minorHAnsi" w:cstheme="minorHAnsi" w:hAnsiTheme="minorHAnsi"/>
                <w:color w:val="000000"/>
              </w:rPr>
              <w:t>-</w:t>
            </w:r>
          </w:p>
        </w:tc>
        <w:tc>
          <w:tcPr>
            <w:tcW w:w="2447" w:type="dxa"/>
            <w:tcBorders>
              <w:bottom w:val="single" w:sz="4" w:space="0" w:color="000000"/>
              <w:right w:val="single" w:sz="4" w:space="0" w:color="000000"/>
            </w:tcBorders>
            <w:shd w:color="F2F2F2" w:fill="FFFFFF" w:val="clear"/>
            <w:vAlign w:val="center"/>
          </w:tcPr>
          <w:p>
            <w:pPr>
              <w:pStyle w:val="Normal"/>
              <w:widowControl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rPr>
              <w:t xml:space="preserve">                      </w:t>
            </w:r>
            <w:r>
              <w:rPr>
                <w:rFonts w:cs="Calibri" w:ascii="Calibri" w:hAnsi="Calibri" w:asciiTheme="minorHAnsi" w:cstheme="minorHAnsi" w:hAnsiTheme="minorHAnsi"/>
                <w:color w:val="000000"/>
              </w:rPr>
              <w:t>-</w:t>
            </w:r>
          </w:p>
        </w:tc>
        <w:tc>
          <w:tcPr>
            <w:tcW w:w="1797" w:type="dxa"/>
            <w:tcBorders>
              <w:bottom w:val="single" w:sz="4" w:space="0" w:color="000000"/>
              <w:right w:val="single" w:sz="4" w:space="0" w:color="000000"/>
            </w:tcBorders>
            <w:shd w:color="F2F2F2" w:fill="FFFFFF" w:val="clear"/>
            <w:vAlign w:val="center"/>
          </w:tcPr>
          <w:p>
            <w:pPr>
              <w:pStyle w:val="Normal"/>
              <w:widowControl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rPr>
              <w:t xml:space="preserve">                      </w:t>
            </w:r>
            <w:r>
              <w:rPr>
                <w:rFonts w:cs="Calibri" w:ascii="Calibri" w:hAnsi="Calibri" w:asciiTheme="minorHAnsi" w:cstheme="minorHAnsi" w:hAnsiTheme="minorHAnsi"/>
                <w:color w:val="000000"/>
              </w:rPr>
              <w:t>-</w:t>
            </w:r>
          </w:p>
        </w:tc>
      </w:tr>
      <w:tr>
        <w:trPr>
          <w:trHeight w:val="20" w:hRule="atLeast"/>
        </w:trPr>
        <w:tc>
          <w:tcPr>
            <w:tcW w:w="326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c>
          <w:tcPr>
            <w:tcW w:w="2133" w:type="dxa"/>
            <w:tcBorders>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rPr>
              <w:t>0</w:t>
            </w:r>
          </w:p>
        </w:tc>
        <w:tc>
          <w:tcPr>
            <w:tcW w:w="2447" w:type="dxa"/>
            <w:tcBorders>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rPr>
              <w:t>1.464.937</w:t>
            </w:r>
          </w:p>
        </w:tc>
        <w:tc>
          <w:tcPr>
            <w:tcW w:w="1797" w:type="dxa"/>
            <w:tcBorders>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rPr>
              <w:t>1.464.937</w:t>
            </w:r>
          </w:p>
        </w:tc>
      </w:tr>
    </w:tbl>
    <w:p>
      <w:pPr>
        <w:pStyle w:val="Normal"/>
        <w:widowControl w:val="false"/>
        <w:jc w:val="both"/>
        <w:rPr>
          <w:rFonts w:ascii="Calibri" w:hAnsi="Calibri" w:cs="Calibri" w:asciiTheme="minorHAnsi" w:cstheme="minorHAnsi" w:hAnsiTheme="minorHAnsi"/>
          <w:b/>
          <w:bCs/>
          <w:color w:val="000000"/>
          <w:sz w:val="22"/>
          <w:szCs w:val="22"/>
          <w:lang w:eastAsia="it-IT"/>
        </w:rPr>
      </w:pPr>
      <w:r>
        <w:rPr>
          <w:rFonts w:cs="Calibri" w:cstheme="minorHAnsi" w:ascii="Calibri" w:hAnsi="Calibri"/>
          <w:b/>
          <w:bCs/>
          <w:color w:val="000000"/>
          <w:sz w:val="22"/>
          <w:szCs w:val="22"/>
          <w:lang w:eastAsia="it-IT"/>
        </w:rPr>
      </w:r>
    </w:p>
    <w:p>
      <w:pPr>
        <w:pStyle w:val="Normal"/>
        <w:widowControl w:val="false"/>
        <w:jc w:val="both"/>
        <w:rPr>
          <w:rFonts w:ascii="Calibri" w:hAnsi="Calibri" w:cs="Calibri" w:asciiTheme="minorHAnsi" w:cstheme="minorHAnsi" w:hAnsiTheme="minorHAnsi"/>
          <w:b/>
          <w:bCs/>
          <w:color w:val="000000"/>
          <w:sz w:val="22"/>
          <w:szCs w:val="22"/>
          <w:lang w:eastAsia="it-IT"/>
        </w:rPr>
      </w:pPr>
      <w:r>
        <w:rPr>
          <w:rFonts w:cs="Calibri" w:cstheme="minorHAnsi" w:ascii="Calibri" w:hAnsi="Calibri"/>
          <w:b/>
          <w:bCs/>
          <w:color w:val="000000"/>
          <w:sz w:val="22"/>
          <w:szCs w:val="22"/>
          <w:lang w:eastAsia="it-IT"/>
        </w:rPr>
      </w:r>
    </w:p>
    <w:tbl>
      <w:tblPr>
        <w:tblW w:w="5000" w:type="pct"/>
        <w:jc w:val="left"/>
        <w:tblInd w:w="113" w:type="dxa"/>
        <w:tblLayout w:type="fixed"/>
        <w:tblCellMar>
          <w:top w:w="0" w:type="dxa"/>
          <w:left w:w="108" w:type="dxa"/>
          <w:bottom w:w="0" w:type="dxa"/>
          <w:right w:w="108" w:type="dxa"/>
        </w:tblCellMar>
        <w:tblLook w:firstRow="1" w:noVBand="1" w:lastRow="0" w:firstColumn="1" w:lastColumn="0" w:noHBand="0" w:val="04a0"/>
      </w:tblPr>
      <w:tblGrid>
        <w:gridCol w:w="4494"/>
        <w:gridCol w:w="1720"/>
        <w:gridCol w:w="1972"/>
        <w:gridCol w:w="1451"/>
      </w:tblGrid>
      <w:tr>
        <w:trPr>
          <w:trHeight w:val="20" w:hRule="atLeast"/>
        </w:trPr>
        <w:tc>
          <w:tcPr>
            <w:tcW w:w="4494"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Soggetto erogatore</w:t>
            </w:r>
          </w:p>
        </w:tc>
        <w:tc>
          <w:tcPr>
            <w:tcW w:w="1720"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Fondo per la non autosuff. Quota sanitaria</w:t>
            </w:r>
          </w:p>
        </w:tc>
        <w:tc>
          <w:tcPr>
            <w:tcW w:w="1972"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Fondo sanitario extra Fondo non Autosufficienza</w:t>
            </w:r>
          </w:p>
        </w:tc>
        <w:tc>
          <w:tcPr>
            <w:tcW w:w="1451"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jc w:val="center"/>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r>
      <w:tr>
        <w:trPr>
          <w:trHeight w:val="20" w:hRule="atLeast"/>
        </w:trPr>
        <w:tc>
          <w:tcPr>
            <w:tcW w:w="449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Ausl Consorziate</w:t>
            </w:r>
          </w:p>
        </w:tc>
        <w:tc>
          <w:tcPr>
            <w:tcW w:w="1720" w:type="dxa"/>
            <w:tcBorders>
              <w:top w:val="single" w:sz="4" w:space="0" w:color="000000"/>
              <w:left w:val="single" w:sz="4" w:space="0" w:color="000000"/>
              <w:bottom w:val="single" w:sz="4" w:space="0" w:color="000000"/>
              <w:right w:val="single" w:sz="4" w:space="0" w:color="000000"/>
            </w:tcBorders>
          </w:tcPr>
          <w:p>
            <w:pPr>
              <w:pStyle w:val="Normal"/>
              <w:widowControl w:val="false"/>
              <w:jc w:val="right"/>
              <w:rPr>
                <w:rFonts w:ascii="Calibri" w:hAnsi="Calibri" w:cs="Calibri" w:asciiTheme="minorHAnsi" w:cstheme="minorHAnsi" w:hAnsiTheme="minorHAnsi"/>
                <w:color w:val="000000"/>
                <w:lang w:eastAsia="it-IT"/>
              </w:rPr>
            </w:pPr>
            <w:r>
              <w:rPr>
                <w:rFonts w:cs="Calibri" w:cstheme="minorHAnsi" w:ascii="Calibri" w:hAnsi="Calibri"/>
                <w:color w:val="000000"/>
                <w:lang w:eastAsia="it-IT"/>
              </w:rPr>
            </w:r>
          </w:p>
        </w:tc>
        <w:tc>
          <w:tcPr>
            <w:tcW w:w="1972" w:type="dxa"/>
            <w:tcBorders>
              <w:top w:val="single" w:sz="4" w:space="0" w:color="000000"/>
              <w:left w:val="single" w:sz="4" w:space="0" w:color="000000"/>
              <w:bottom w:val="single" w:sz="4" w:space="0" w:color="000000"/>
              <w:right w:val="single" w:sz="4" w:space="0" w:color="000000"/>
            </w:tcBorders>
            <w:shd w:color="F2F2F2" w:fill="FFFFFF" w:val="clear"/>
            <w:vAlign w:val="center"/>
          </w:tcPr>
          <w:p>
            <w:pPr>
              <w:pStyle w:val="Normal"/>
              <w:widowControl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rPr>
              <w:t>0</w:t>
            </w:r>
          </w:p>
        </w:tc>
        <w:tc>
          <w:tcPr>
            <w:tcW w:w="1451" w:type="dxa"/>
            <w:tcBorders>
              <w:top w:val="single" w:sz="4" w:space="0" w:color="000000"/>
              <w:bottom w:val="single" w:sz="4" w:space="0" w:color="000000"/>
              <w:right w:val="single" w:sz="4" w:space="0" w:color="000000"/>
            </w:tcBorders>
            <w:shd w:color="F2F2F2" w:fill="FFFFFF" w:val="clear"/>
            <w:vAlign w:val="center"/>
          </w:tcPr>
          <w:p>
            <w:pPr>
              <w:pStyle w:val="Normal"/>
              <w:widowControl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rPr>
              <w:t>0</w:t>
            </w:r>
          </w:p>
        </w:tc>
      </w:tr>
      <w:tr>
        <w:trPr>
          <w:trHeight w:val="20" w:hRule="atLeast"/>
        </w:trPr>
        <w:tc>
          <w:tcPr>
            <w:tcW w:w="449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lang w:eastAsia="it-IT"/>
              </w:rPr>
              <w:t>Regione Toscana</w:t>
            </w:r>
          </w:p>
        </w:tc>
        <w:tc>
          <w:tcPr>
            <w:tcW w:w="1720" w:type="dxa"/>
            <w:tcBorders>
              <w:top w:val="single" w:sz="4" w:space="0" w:color="000000"/>
              <w:left w:val="single" w:sz="4" w:space="0" w:color="000000"/>
              <w:bottom w:val="single" w:sz="4" w:space="0" w:color="000000"/>
              <w:right w:val="single" w:sz="4" w:space="0" w:color="000000"/>
            </w:tcBorders>
          </w:tcPr>
          <w:p>
            <w:pPr>
              <w:pStyle w:val="Normal"/>
              <w:widowControl w:val="false"/>
              <w:jc w:val="right"/>
              <w:rPr>
                <w:rFonts w:ascii="Calibri" w:hAnsi="Calibri" w:cs="Calibri" w:asciiTheme="minorHAnsi" w:cstheme="minorHAnsi" w:hAnsiTheme="minorHAnsi"/>
                <w:color w:val="000000"/>
                <w:lang w:eastAsia="it-IT"/>
              </w:rPr>
            </w:pPr>
            <w:r>
              <w:rPr>
                <w:rFonts w:cs="Calibri" w:cstheme="minorHAnsi" w:ascii="Calibri" w:hAnsi="Calibri"/>
                <w:color w:val="000000"/>
                <w:lang w:eastAsia="it-IT"/>
              </w:rPr>
            </w:r>
          </w:p>
        </w:tc>
        <w:tc>
          <w:tcPr>
            <w:tcW w:w="1972" w:type="dxa"/>
            <w:tcBorders>
              <w:left w:val="single" w:sz="4" w:space="0" w:color="000000"/>
              <w:bottom w:val="single" w:sz="4" w:space="0" w:color="000000"/>
              <w:right w:val="single" w:sz="4" w:space="0" w:color="000000"/>
            </w:tcBorders>
            <w:shd w:color="F2F2F2" w:fill="FFFFFF" w:val="clear"/>
            <w:vAlign w:val="center"/>
          </w:tcPr>
          <w:p>
            <w:pPr>
              <w:pStyle w:val="Normal"/>
              <w:widowControl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rPr>
              <w:t>23.302</w:t>
            </w:r>
          </w:p>
        </w:tc>
        <w:tc>
          <w:tcPr>
            <w:tcW w:w="1451" w:type="dxa"/>
            <w:tcBorders>
              <w:bottom w:val="single" w:sz="4" w:space="0" w:color="000000"/>
              <w:right w:val="single" w:sz="4" w:space="0" w:color="000000"/>
            </w:tcBorders>
            <w:shd w:color="F2F2F2" w:fill="FFFFFF" w:val="clear"/>
            <w:vAlign w:val="center"/>
          </w:tcPr>
          <w:p>
            <w:pPr>
              <w:pStyle w:val="Normal"/>
              <w:widowControl w:val="false"/>
              <w:jc w:val="right"/>
              <w:rPr>
                <w:rFonts w:ascii="Calibri" w:hAnsi="Calibri" w:cs="Calibri" w:asciiTheme="minorHAnsi" w:cstheme="minorHAnsi" w:hAnsiTheme="minorHAnsi"/>
                <w:color w:val="000000"/>
                <w:lang w:eastAsia="it-IT"/>
              </w:rPr>
            </w:pPr>
            <w:r>
              <w:rPr>
                <w:rFonts w:cs="Calibri" w:ascii="Calibri" w:hAnsi="Calibri" w:asciiTheme="minorHAnsi" w:cstheme="minorHAnsi" w:hAnsiTheme="minorHAnsi"/>
                <w:color w:val="000000"/>
              </w:rPr>
              <w:t>23.302</w:t>
            </w:r>
          </w:p>
        </w:tc>
      </w:tr>
      <w:tr>
        <w:trPr>
          <w:trHeight w:val="20" w:hRule="atLeast"/>
        </w:trPr>
        <w:tc>
          <w:tcPr>
            <w:tcW w:w="449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lang w:eastAsia="it-IT"/>
              </w:rPr>
              <w:t>Totale</w:t>
            </w:r>
          </w:p>
        </w:tc>
        <w:tc>
          <w:tcPr>
            <w:tcW w:w="1720" w:type="dxa"/>
            <w:tcBorders>
              <w:top w:val="single" w:sz="4" w:space="0" w:color="000000"/>
              <w:left w:val="single" w:sz="4" w:space="0" w:color="000000"/>
              <w:bottom w:val="single" w:sz="4" w:space="0" w:color="000000"/>
              <w:right w:val="single" w:sz="4" w:space="0" w:color="000000"/>
            </w:tcBorders>
          </w:tcPr>
          <w:p>
            <w:pPr>
              <w:pStyle w:val="Normal"/>
              <w:widowControl w:val="false"/>
              <w:jc w:val="right"/>
              <w:rPr>
                <w:rFonts w:ascii="Calibri" w:hAnsi="Calibri" w:cs="Calibri" w:asciiTheme="minorHAnsi" w:cstheme="minorHAnsi" w:hAnsiTheme="minorHAnsi"/>
                <w:b/>
                <w:bCs/>
                <w:color w:val="000000"/>
                <w:lang w:eastAsia="it-IT"/>
              </w:rPr>
            </w:pPr>
            <w:r>
              <w:rPr>
                <w:rFonts w:cs="Calibri" w:cstheme="minorHAnsi" w:ascii="Calibri" w:hAnsi="Calibri"/>
                <w:b/>
                <w:bCs/>
                <w:color w:val="000000"/>
                <w:lang w:eastAsia="it-IT"/>
              </w:rPr>
            </w:r>
          </w:p>
        </w:tc>
        <w:tc>
          <w:tcPr>
            <w:tcW w:w="1972" w:type="dxa"/>
            <w:tcBorders>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rPr>
              <w:t>23.302</w:t>
            </w:r>
          </w:p>
        </w:tc>
        <w:tc>
          <w:tcPr>
            <w:tcW w:w="1451" w:type="dxa"/>
            <w:tcBorders>
              <w:bottom w:val="single" w:sz="4" w:space="0" w:color="000000"/>
              <w:right w:val="single" w:sz="4" w:space="0" w:color="000000"/>
            </w:tcBorders>
            <w:vAlign w:val="center"/>
          </w:tcPr>
          <w:p>
            <w:pPr>
              <w:pStyle w:val="Normal"/>
              <w:widowControl w:val="false"/>
              <w:jc w:val="right"/>
              <w:rPr>
                <w:rFonts w:ascii="Calibri" w:hAnsi="Calibri" w:cs="Calibri" w:asciiTheme="minorHAnsi" w:cstheme="minorHAnsi" w:hAnsiTheme="minorHAnsi"/>
                <w:b/>
                <w:bCs/>
                <w:color w:val="000000"/>
                <w:lang w:eastAsia="it-IT"/>
              </w:rPr>
            </w:pPr>
            <w:r>
              <w:rPr>
                <w:rFonts w:cs="Calibri" w:ascii="Calibri" w:hAnsi="Calibri" w:asciiTheme="minorHAnsi" w:cstheme="minorHAnsi" w:hAnsiTheme="minorHAnsi"/>
                <w:b/>
                <w:bCs/>
                <w:color w:val="000000"/>
              </w:rPr>
              <w:t>23.302</w:t>
            </w:r>
          </w:p>
        </w:tc>
      </w:tr>
    </w:tbl>
    <w:p>
      <w:pPr>
        <w:pStyle w:val="Normal"/>
        <w:widowControl w:val="false"/>
        <w:jc w:val="both"/>
        <w:rPr>
          <w:rFonts w:ascii="Calibri" w:hAnsi="Calibri" w:cs="Calibri" w:asciiTheme="minorHAnsi" w:cstheme="minorHAnsi" w:hAnsiTheme="minorHAnsi"/>
          <w:b/>
          <w:bCs/>
          <w:color w:val="000000"/>
          <w:sz w:val="22"/>
          <w:szCs w:val="22"/>
          <w:lang w:eastAsia="it-IT"/>
        </w:rPr>
      </w:pPr>
      <w:r>
        <w:rPr>
          <w:rFonts w:cs="Calibri" w:cstheme="minorHAnsi" w:ascii="Calibri" w:hAnsi="Calibri"/>
          <w:b/>
          <w:bCs/>
          <w:color w:val="000000"/>
          <w:sz w:val="22"/>
          <w:szCs w:val="22"/>
          <w:lang w:eastAsia="it-IT"/>
        </w:rPr>
      </w:r>
    </w:p>
    <w:p>
      <w:pPr>
        <w:pStyle w:val="Normal"/>
        <w:widowControl w:val="false"/>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Per i contributi in c/esercizio relativamente al Fondo della Non Autosufficienza vedasi la parte tabellare dei contributi in c/esercizio della presenta nota integrativa nella parte relativa ai contributi della Regione Toscana e dei contributi verso altri da Azienda Sanitaria </w:t>
      </w:r>
    </w:p>
    <w:p>
      <w:pPr>
        <w:pStyle w:val="Standard"/>
        <w:widowControl w:val="false"/>
        <w:tabs>
          <w:tab w:val="clear" w:pos="720"/>
          <w:tab w:val="left" w:pos="0" w:leader="none"/>
          <w:tab w:val="left" w:pos="2160" w:leader="none"/>
        </w:tabs>
        <w:jc w:val="both"/>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Standard"/>
        <w:widowControl w:val="false"/>
        <w:tabs>
          <w:tab w:val="clear" w:pos="720"/>
          <w:tab w:val="left" w:pos="0" w:leader="none"/>
          <w:tab w:val="left" w:pos="2160" w:leader="none"/>
        </w:tabs>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Costi della produzione</w:t>
      </w:r>
    </w:p>
    <w:p>
      <w:pPr>
        <w:pStyle w:val="Standard"/>
        <w:widowControl w:val="false"/>
        <w:tabs>
          <w:tab w:val="clear" w:pos="720"/>
          <w:tab w:val="left" w:pos="0" w:leader="none"/>
          <w:tab w:val="left" w:pos="2160" w:leader="none"/>
        </w:tabs>
        <w:jc w:val="both"/>
        <w:rPr>
          <w:rFonts w:ascii="Calibri" w:hAnsi="Calibri" w:cs="Calibri" w:asciiTheme="minorHAnsi" w:cstheme="minorHAnsi" w:hAnsiTheme="minorHAnsi"/>
          <w:sz w:val="22"/>
          <w:szCs w:val="22"/>
        </w:rPr>
      </w:pPr>
      <w:bookmarkStart w:id="26" w:name="EcoImpoRedd"/>
      <w:r>
        <w:rPr>
          <w:rFonts w:cs="Calibri" w:ascii="Calibri" w:hAnsi="Calibri" w:asciiTheme="minorHAnsi" w:cstheme="minorHAnsi" w:hAnsiTheme="minorHAnsi"/>
          <w:sz w:val="22"/>
          <w:szCs w:val="22"/>
        </w:rPr>
        <w:t>Come già dettagliatamente specificato l'ammontare dei costi della produzione relativamente al Fondo della Non Autosufficienza ricomprendono le prestazioni di assistenza semiresidenziale ad anziani e disabili, erogazione di sussidi, prestazioni di assistenza domiciliare, contributi vita indipendente e assegni di cura per un totale complessivo 1.464.937€.</w:t>
      </w:r>
      <w:bookmarkEnd w:id="26"/>
    </w:p>
    <w:p>
      <w:pPr>
        <w:pStyle w:val="Normal"/>
        <w:widowControl w:val="false"/>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sz w:val="22"/>
          <w:szCs w:val="22"/>
        </w:rPr>
      </w:pPr>
      <w:bookmarkStart w:id="27" w:name="EcoProOneStr1"/>
      <w:bookmarkEnd w:id="27"/>
      <w:r>
        <w:rPr>
          <w:rFonts w:cs="Calibri" w:ascii="Calibri" w:hAnsi="Calibri" w:asciiTheme="minorHAnsi" w:cstheme="minorHAnsi" w:hAnsiTheme="minorHAnsi"/>
          <w:sz w:val="22"/>
          <w:szCs w:val="22"/>
        </w:rPr>
        <w:t xml:space="preserve">Montepulciano,  </w:t>
      </w:r>
      <w:r>
        <w:rPr>
          <w:rFonts w:cs="Calibri" w:ascii="Calibri" w:hAnsi="Calibri" w:asciiTheme="minorHAnsi" w:cstheme="minorHAnsi" w:hAnsiTheme="minorHAnsi"/>
          <w:sz w:val="22"/>
          <w:szCs w:val="22"/>
        </w:rPr>
        <w:t>30.</w:t>
      </w:r>
      <w:r>
        <w:rPr>
          <w:rFonts w:cs="Calibri" w:ascii="Calibri" w:hAnsi="Calibri" w:asciiTheme="minorHAnsi" w:cstheme="minorHAnsi" w:hAnsiTheme="minorHAnsi"/>
          <w:sz w:val="22"/>
          <w:szCs w:val="22"/>
        </w:rPr>
        <w:t>06.2026</w:t>
      </w:r>
    </w:p>
    <w:p>
      <w:pPr>
        <w:pStyle w:val="Normal"/>
        <w:jc w:val="center"/>
        <w:rPr>
          <w:rFonts w:ascii="Calibri" w:hAnsi="Calibri"/>
          <w:sz w:val="22"/>
          <w:szCs w:val="22"/>
        </w:rPr>
      </w:pPr>
      <w:r>
        <w:rPr>
          <w:rFonts w:cs="Calibri" w:ascii="Calibri" w:hAnsi="Calibri" w:asciiTheme="minorHAnsi" w:cstheme="minorHAnsi" w:hAnsiTheme="minorHAnsi"/>
          <w:sz w:val="22"/>
          <w:szCs w:val="22"/>
        </w:rPr>
        <w:tab/>
      </w:r>
    </w:p>
    <w:p>
      <w:pPr>
        <w:pStyle w:val="Normal"/>
        <w:rPr>
          <w:rFonts w:ascii="Calibri" w:hAnsi="Calibri"/>
          <w:sz w:val="22"/>
          <w:szCs w:val="22"/>
        </w:rPr>
      </w:pPr>
      <w:r>
        <w:rPr>
          <w:rFonts w:cs="Calibri" w:ascii="Calibri" w:hAnsi="Calibri" w:asciiTheme="minorHAnsi" w:cstheme="minorHAnsi" w:hAnsiTheme="minorHAnsi"/>
          <w:sz w:val="22"/>
          <w:szCs w:val="22"/>
        </w:rPr>
        <w:t>Elaborato predisposto dal Direttore SdS</w:t>
        <w:tab/>
        <w:tab/>
        <w:tab/>
      </w:r>
    </w:p>
    <w:p>
      <w:pPr>
        <w:pStyle w:val="Normal"/>
        <w:rPr>
          <w:rFonts w:ascii="Calibri" w:hAnsi="Calibri"/>
          <w:sz w:val="22"/>
          <w:szCs w:val="22"/>
        </w:rPr>
      </w:pPr>
      <w:r>
        <w:rPr>
          <w:rFonts w:eastAsia="Garamond" w:cs="Calibri" w:ascii="Calibri" w:hAnsi="Calibri" w:asciiTheme="minorHAnsi" w:cstheme="minorHAnsi" w:hAnsiTheme="minorHAnsi"/>
          <w:sz w:val="22"/>
          <w:szCs w:val="22"/>
        </w:rPr>
        <w:t xml:space="preserve"> </w:t>
      </w:r>
      <w:r>
        <w:rPr>
          <w:rFonts w:cs="Calibri" w:ascii="Calibri" w:hAnsi="Calibri" w:asciiTheme="minorHAnsi" w:cstheme="minorHAnsi" w:hAnsiTheme="minorHAnsi"/>
          <w:sz w:val="22"/>
          <w:szCs w:val="22"/>
        </w:rPr>
        <w:t>(Art. 71 novies – comma 5 lett.c)</w:t>
        <w:tab/>
        <w:tab/>
        <w:tab/>
        <w:tab/>
        <w:t xml:space="preserve">          </w:t>
      </w:r>
    </w:p>
    <w:p>
      <w:pPr>
        <w:pStyle w:val="Normal"/>
        <w:rPr>
          <w:rFonts w:ascii="Calibri" w:hAnsi="Calibri"/>
          <w:sz w:val="22"/>
          <w:szCs w:val="22"/>
        </w:rPr>
      </w:pPr>
      <w:r>
        <w:rPr>
          <w:rFonts w:eastAsia="Garamond" w:cs="Calibri" w:ascii="Calibri" w:hAnsi="Calibri" w:asciiTheme="minorHAnsi" w:cstheme="minorHAnsi" w:hAnsiTheme="minorHAnsi"/>
          <w:sz w:val="22"/>
          <w:szCs w:val="22"/>
        </w:rPr>
        <w:t xml:space="preserve"> </w:t>
      </w:r>
      <w:r>
        <w:rPr>
          <w:rFonts w:ascii="Calibri" w:hAnsi="Calibri"/>
          <w:sz w:val="22"/>
          <w:szCs w:val="22"/>
        </w:rPr>
        <w:t>Sostituto Direttore Dr.ssa ANGELA TOZZ</w:t>
      </w:r>
    </w:p>
    <w:p>
      <w:pPr>
        <w:pStyle w:val="Normal"/>
        <w:rPr>
          <w:rFonts w:ascii="Calibri" w:hAnsi="Calibri"/>
          <w:sz w:val="22"/>
          <w:szCs w:val="22"/>
        </w:rPr>
      </w:pPr>
      <w:r>
        <w:rPr>
          <w:rFonts w:ascii="Calibri" w:hAnsi="Calibri"/>
          <w:sz w:val="22"/>
          <w:szCs w:val="22"/>
        </w:rPr>
      </w:r>
    </w:p>
    <w:p>
      <w:pPr>
        <w:pStyle w:val="Normal"/>
        <w:rPr>
          <w:rFonts w:ascii="Calibri" w:hAnsi="Calibri"/>
          <w:sz w:val="22"/>
          <w:szCs w:val="22"/>
        </w:rPr>
      </w:pPr>
      <w:bookmarkStart w:id="28" w:name="EcoRetValAttFin1"/>
      <w:bookmarkStart w:id="29" w:name="Tab02Del"/>
      <w:r>
        <w:rPr>
          <w:rFonts w:cs="Calibri" w:ascii="Calibri" w:hAnsi="Calibri" w:asciiTheme="minorHAnsi" w:cstheme="minorHAnsi" w:hAnsiTheme="minorHAnsi"/>
          <w:sz w:val="22"/>
          <w:szCs w:val="22"/>
        </w:rPr>
        <w:tab/>
      </w:r>
      <w:bookmarkEnd w:id="28"/>
      <w:bookmarkEnd w:id="29"/>
    </w:p>
    <w:p>
      <w:pPr>
        <w:pStyle w:val="Normal"/>
        <w:rPr>
          <w:rFonts w:ascii="Calibri" w:hAnsi="Calibri"/>
          <w:sz w:val="22"/>
          <w:szCs w:val="22"/>
        </w:rPr>
      </w:pPr>
      <w:r>
        <w:rPr>
          <w:rFonts w:cs="Calibri" w:ascii="Calibri" w:hAnsi="Calibri" w:asciiTheme="minorHAnsi" w:cstheme="minorHAnsi" w:hAnsiTheme="minorHAnsi"/>
          <w:sz w:val="22"/>
          <w:szCs w:val="22"/>
        </w:rPr>
        <w:t xml:space="preserve">Il Presidente SdS </w:t>
      </w:r>
    </w:p>
    <w:p>
      <w:pPr>
        <w:pStyle w:val="Normal"/>
        <w:rPr>
          <w:rFonts w:ascii="Calibri" w:hAnsi="Calibri"/>
          <w:sz w:val="22"/>
          <w:szCs w:val="22"/>
        </w:rPr>
      </w:pPr>
      <w:r>
        <w:rPr>
          <w:rFonts w:cs="Calibri" w:ascii="Calibri" w:hAnsi="Calibri" w:asciiTheme="minorHAnsi" w:cstheme="minorHAnsi" w:hAnsiTheme="minorHAnsi"/>
          <w:sz w:val="22"/>
          <w:szCs w:val="22"/>
        </w:rPr>
        <w:t>(Dott. Michele Angiolini)</w:t>
      </w:r>
    </w:p>
    <w:p>
      <w:pPr>
        <w:pStyle w:val="Normal"/>
        <w:jc w:val="both"/>
        <w:rPr>
          <w:rFonts w:ascii="Calibri" w:hAnsi="Calibri"/>
          <w:sz w:val="22"/>
          <w:szCs w:val="22"/>
        </w:rPr>
      </w:pPr>
      <w:r>
        <w:rPr/>
      </w:r>
    </w:p>
    <w:sectPr>
      <w:headerReference w:type="default" r:id="rId2"/>
      <w:footerReference w:type="default" r:id="rId3"/>
      <w:type w:val="nextPage"/>
      <w:pgSz w:w="11906" w:h="16838"/>
      <w:pgMar w:left="1134" w:right="1134" w:gutter="0" w:header="720" w:top="1418" w:footer="720" w:bottom="1134"/>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swiss"/>
    <w:pitch w:val="default"/>
  </w:font>
  <w:font w:name="Garamond">
    <w:charset w:val="01"/>
    <w:family w:val="swiss"/>
    <w:pitch w:val="default"/>
  </w:font>
  <w:font w:name="Symbol">
    <w:charset w:val="01"/>
    <w:family w:val="swiss"/>
    <w:pitch w:val="default"/>
  </w:font>
  <w:font w:name="Courier New">
    <w:charset w:val="01"/>
    <w:family w:val="swiss"/>
    <w:pitch w:val="default"/>
  </w:font>
  <w:font w:name="Wingdings">
    <w:charset w:val="01"/>
    <w:family w:val="swiss"/>
    <w:pitch w:val="default"/>
  </w:font>
  <w:font w:name="StarSymbol">
    <w:altName w:val="Arial Unicode MS"/>
    <w:charset w:val="01"/>
    <w:family w:val="swiss"/>
    <w:pitch w:val="default"/>
  </w:font>
  <w:font w:name="Tahoma">
    <w:charset w:val="01"/>
    <w:family w:val="swiss"/>
    <w:pitch w:val="default"/>
  </w:font>
  <w:font w:name="Arial">
    <w:charset w:val="01"/>
    <w:family w:val="swiss"/>
    <w:pitch w:val="default"/>
  </w:font>
  <w:font w:name="Liberation Sans">
    <w:altName w:val="Arial"/>
    <w:charset w:val="01"/>
    <w:family w:val="swiss"/>
    <w:pitch w:val="default"/>
  </w:font>
  <w:font w:name="CG Times (WN)">
    <w:charset w:val="01"/>
    <w:family w:val="swiss"/>
    <w:pitch w:val="default"/>
  </w:font>
  <w:font w:name="Univers">
    <w:charset w:val="01"/>
    <w:family w:val="swiss"/>
    <w:pitch w:val="default"/>
  </w:font>
  <w:font w:name="Deja Vu Serif">
    <w:charset w:val="01"/>
    <w:family w:val="swiss"/>
    <w:pitch w:val="default"/>
  </w:font>
  <w:font w:name="Calibri">
    <w:charset w:val="01"/>
    <w:family w:val="swiss"/>
    <w:pitch w:val="default"/>
  </w:font>
  <w:font w:name="Calibri">
    <w:charset w:val="01"/>
    <w:family w:val="swiss"/>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dipagina"/>
      <w:tabs>
        <w:tab w:val="clear" w:pos="4819"/>
        <w:tab w:val="clear" w:pos="9638"/>
        <w:tab w:val="center" w:pos="4818" w:leader="none"/>
      </w:tabs>
      <w:rPr/>
    </w:pPr>
    <w:r>
      <w:rPr/>
    </w:r>
    <w:r>
      <mc:AlternateContent>
        <mc:Choice Requires="wps">
          <w:drawing>
            <wp:anchor behindDoc="1" distT="0" distB="0" distL="635" distR="0" simplePos="0" locked="0" layoutInCell="0" allowOverlap="1" relativeHeight="25">
              <wp:simplePos x="0" y="0"/>
              <wp:positionH relativeFrom="margin">
                <wp:align>center</wp:align>
              </wp:positionH>
              <wp:positionV relativeFrom="paragraph">
                <wp:posOffset>635</wp:posOffset>
              </wp:positionV>
              <wp:extent cx="187325" cy="91440"/>
              <wp:effectExtent l="0" t="0" r="0" b="0"/>
              <wp:wrapNone/>
              <wp:docPr id="1" name="Cornice1"/>
              <a:graphic xmlns:a="http://schemas.openxmlformats.org/drawingml/2006/main">
                <a:graphicData uri="http://schemas.microsoft.com/office/word/2010/wordprocessingShape">
                  <wps:wsp>
                    <wps:cNvSpPr txBox="1"/>
                    <wps:spPr>
                      <a:xfrm>
                        <a:off x="0" y="0"/>
                        <a:ext cx="187325" cy="91440"/>
                      </a:xfrm>
                      <a:prstGeom prst="rect"/>
                      <a:solidFill>
                        <a:srgbClr val="FFFFFF"/>
                      </a:solidFill>
                    </wps:spPr>
                    <wps:txbx>
                      <w:txbxContent>
                        <w:p>
                          <w:pPr>
                            <w:pStyle w:val="Pidipagina"/>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xbxContent>
                    </wps:txbx>
                    <wps:bodyPr anchor="t" lIns="2540" tIns="2540" rIns="2540" bIns="2540">
                      <a:noAutofit/>
                    </wps:bodyPr>
                  </wps:wsp>
                </a:graphicData>
              </a:graphic>
            </wp:anchor>
          </w:drawing>
        </mc:Choice>
        <mc:Fallback>
          <w:pict>
            <v:rect fillcolor="#FFFFFF" stroked="f" strokeweight="0pt" style="position:absolute;rotation:-0;width:14.75pt;height:7.2pt;mso-wrap-distance-left:0.05pt;mso-wrap-distance-right:0pt;mso-wrap-distance-top:0pt;mso-wrap-distance-bottom:0pt;margin-top:0.05pt;mso-position-vertical-relative:text;margin-left:233.6pt;mso-position-horizontal:center;mso-position-horizontal-relative:margin">
              <v:textbox inset="0.00277777777777778in,0.00277777777777778in,0.00277777777777778in,0.00277777777777778in">
                <w:txbxContent>
                  <w:p>
                    <w:pPr>
                      <w:pStyle w:val="Pidipagina"/>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xbxContent>
              </v:textbox>
              <w10:wrap type="none"/>
            </v:rect>
          </w:pict>
        </mc:Fallback>
      </mc:AlternateContent>
    </w:r>
  </w:p>
  <w:p>
    <w:pPr>
      <w:pStyle w:val="Pidipagina"/>
      <w:tabs>
        <w:tab w:val="clear" w:pos="4819"/>
        <w:tab w:val="clear" w:pos="9638"/>
        <w:tab w:val="center" w:pos="4818" w:leader="none"/>
      </w:tabs>
      <w:rPr/>
    </w:pPr>
    <w:r>
      <w:rPr/>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Intestazione"/>
      <w:rPr/>
    </w:pPr>
    <w:r>
      <w:rPr/>
    </w:r>
  </w:p>
  <w:p>
    <w:pPr>
      <w:pStyle w:val="Titolo1"/>
      <w:numPr>
        <w:ilvl w:val="0"/>
        <w:numId w:val="1"/>
      </w:numPr>
      <w:tabs>
        <w:tab w:val="clear" w:pos="720"/>
        <w:tab w:val="left" w:pos="0" w:leader="none"/>
      </w:tabs>
      <w:rPr/>
    </w:pPr>
    <w:r>
      <w:rPr/>
      <w:t>SOCIETA’ DELLA SALUTE AMIATA SENESE E VAL D’ORCIA VALDICHIANA SENESE</w:t>
    </w:r>
  </w:p>
  <w:p>
    <w:pPr>
      <w:pStyle w:val="Intestazione"/>
      <w:jc w:val="center"/>
      <w:rPr/>
    </w:pPr>
    <w:r>
      <w:rPr>
        <w:sz w:val="24"/>
      </w:rPr>
      <w:t>Piazza Grande n. 1 – 53045 Montepulciano (Siena)</w:t>
    </w:r>
  </w:p>
  <w:p>
    <w:pPr>
      <w:pStyle w:val="Intestazione"/>
      <w:jc w:val="center"/>
      <w:rPr/>
    </w:pPr>
    <w:r>
      <w:rPr>
        <w:sz w:val="24"/>
      </w:rPr>
      <w:t>Codice Fiscale n. 90017690521</w:t>
    </w:r>
  </w:p>
  <w:p>
    <w:pPr>
      <w:pStyle w:val="Intestazione"/>
      <w:jc w:val="center"/>
      <w:rPr>
        <w:sz w:val="24"/>
      </w:rPr>
    </w:pPr>
    <w:r>
      <w:rPr>
        <w:sz w:val="24"/>
      </w:rPr>
    </w:r>
  </w:p>
  <w:p>
    <w:pPr>
      <w:pStyle w:val="Intestazione"/>
      <w:jc w:val="center"/>
      <w:rPr>
        <w:sz w:val="24"/>
      </w:rPr>
    </w:pPr>
    <w:r>
      <w:rPr>
        <w:sz w:val="2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sz w:val="22"/>
        <w:szCs w:val="22"/>
        <w:rFonts w:cs="Garamond"/>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rPr>
        <w:sz w:val="22"/>
        <w:szCs w:val="22"/>
        <w:rFonts w:cs="Garamond"/>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numFmt w:val="bullet"/>
      <w:lvlText w:val="-"/>
      <w:lvlJc w:val="left"/>
      <w:pPr>
        <w:tabs>
          <w:tab w:val="num" w:pos="720"/>
        </w:tabs>
        <w:ind w:left="720" w:hanging="360"/>
      </w:pPr>
      <w:rPr>
        <w:rFonts w:ascii="Times New Roman" w:hAnsi="Times New Roman" w:cs="Times New Roman" w:hint="default"/>
        <w:sz w:val="22"/>
        <w:b w:val="false"/>
        <w:szCs w:val="22"/>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upperLetter"/>
      <w:lvlText w:val="%1."/>
      <w:lvlJc w:val="left"/>
      <w:pPr>
        <w:tabs>
          <w:tab w:val="num" w:pos="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upperLetter"/>
      <w:lvlText w:val="%1."/>
      <w:lvlJc w:val="left"/>
      <w:pPr>
        <w:tabs>
          <w:tab w:val="num" w:pos="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7">
    <w:lvl w:ilvl="0">
      <w:start w:val="1"/>
      <w:numFmt w:val="decimal"/>
      <w:lvlText w:val="%1."/>
      <w:lvlJc w:val="left"/>
      <w:pPr>
        <w:tabs>
          <w:tab w:val="num" w:pos="0"/>
        </w:tabs>
        <w:ind w:left="720" w:hanging="360"/>
      </w:pPr>
      <w:rPr>
        <w:sz w:val="22"/>
        <w:b/>
        <w:szCs w:val="22"/>
        <w:rFonts w:ascii="Garamond" w:hAnsi="Garamond" w:cs="Garamond"/>
      </w:rPr>
    </w:lvl>
    <w:lvl w:ilvl="1">
      <w:start w:val="1"/>
      <w:numFmt w:val="decimal"/>
      <w:lvlText w:val="%1.%2"/>
      <w:lvlJc w:val="left"/>
      <w:pPr>
        <w:tabs>
          <w:tab w:val="num" w:pos="0"/>
        </w:tabs>
        <w:ind w:left="720" w:hanging="36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8">
    <w:lvl w:ilvl="0">
      <w:start w:val="1"/>
      <w:numFmt w:val="upperLetter"/>
      <w:lvlText w:val="%1."/>
      <w:lvlJc w:val="left"/>
      <w:pPr>
        <w:tabs>
          <w:tab w:val="num" w:pos="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71"/>
  <w:displayBackgroundShape/>
  <w:embedSystemFonts/>
  <w:defaultTabStop w:val="720"/>
  <w:autoHyphenation w:val="true"/>
  <w:hyphenationZone w:val="283"/>
  <w:compat>
    <w:doNotExpandShiftReturn/>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it-IT"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semiHidden="1"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eastAsia="zh-CN" w:val="it-IT" w:bidi="ar-SA"/>
    </w:rPr>
  </w:style>
  <w:style w:type="paragraph" w:styleId="Titolo1">
    <w:name w:val="Heading 1"/>
    <w:basedOn w:val="Normal"/>
    <w:next w:val="Normal"/>
    <w:qFormat/>
    <w:pPr>
      <w:keepNext w:val="true"/>
      <w:numPr>
        <w:ilvl w:val="0"/>
        <w:numId w:val="1"/>
      </w:numPr>
      <w:jc w:val="center"/>
      <w:outlineLvl w:val="0"/>
    </w:pPr>
    <w:rPr>
      <w:b/>
      <w:sz w:val="28"/>
    </w:rPr>
  </w:style>
  <w:style w:type="paragraph" w:styleId="Titolo2">
    <w:name w:val="Heading 2"/>
    <w:basedOn w:val="Normal"/>
    <w:next w:val="Normal"/>
    <w:qFormat/>
    <w:pPr>
      <w:keepNext w:val="true"/>
      <w:numPr>
        <w:ilvl w:val="1"/>
        <w:numId w:val="1"/>
      </w:numPr>
      <w:jc w:val="both"/>
      <w:outlineLvl w:val="1"/>
    </w:pPr>
    <w:rPr>
      <w:sz w:val="24"/>
      <w:u w:val="single"/>
    </w:rPr>
  </w:style>
  <w:style w:type="paragraph" w:styleId="Titolo3">
    <w:name w:val="Heading 3"/>
    <w:basedOn w:val="Normal"/>
    <w:next w:val="Normal"/>
    <w:qFormat/>
    <w:pPr>
      <w:keepNext w:val="true"/>
      <w:numPr>
        <w:ilvl w:val="2"/>
        <w:numId w:val="1"/>
      </w:numPr>
      <w:jc w:val="center"/>
      <w:outlineLvl w:val="2"/>
    </w:pPr>
    <w:rPr>
      <w:b/>
      <w:sz w:val="18"/>
    </w:rPr>
  </w:style>
  <w:style w:type="paragraph" w:styleId="Titolo4">
    <w:name w:val="Heading 4"/>
    <w:basedOn w:val="Normal"/>
    <w:next w:val="Normal"/>
    <w:qFormat/>
    <w:pPr>
      <w:keepNext w:val="true"/>
      <w:numPr>
        <w:ilvl w:val="3"/>
        <w:numId w:val="1"/>
      </w:numPr>
      <w:jc w:val="center"/>
      <w:outlineLvl w:val="3"/>
    </w:pPr>
    <w:rPr>
      <w:sz w:val="24"/>
    </w:rPr>
  </w:style>
  <w:style w:type="paragraph" w:styleId="Titolo5">
    <w:name w:val="Heading 5"/>
    <w:basedOn w:val="Normal"/>
    <w:next w:val="Normal"/>
    <w:qFormat/>
    <w:pPr>
      <w:keepNext w:val="true"/>
      <w:numPr>
        <w:ilvl w:val="4"/>
        <w:numId w:val="1"/>
      </w:numPr>
      <w:jc w:val="both"/>
      <w:outlineLvl w:val="4"/>
    </w:pPr>
    <w:rPr>
      <w:u w:val="single"/>
    </w:rPr>
  </w:style>
  <w:style w:type="paragraph" w:styleId="Titolo6">
    <w:name w:val="Heading 6"/>
    <w:basedOn w:val="Normal"/>
    <w:next w:val="Normal"/>
    <w:qFormat/>
    <w:pPr>
      <w:keepNext w:val="true"/>
      <w:numPr>
        <w:ilvl w:val="5"/>
        <w:numId w:val="1"/>
      </w:numPr>
      <w:jc w:val="center"/>
      <w:outlineLvl w:val="5"/>
    </w:pPr>
    <w:rPr>
      <w:i/>
      <w:sz w:val="24"/>
    </w:rPr>
  </w:style>
  <w:style w:type="paragraph" w:styleId="Titolo7">
    <w:name w:val="Heading 7"/>
    <w:basedOn w:val="Normal"/>
    <w:next w:val="Normal"/>
    <w:qFormat/>
    <w:pPr>
      <w:keepNext w:val="true"/>
      <w:numPr>
        <w:ilvl w:val="6"/>
        <w:numId w:val="1"/>
      </w:numPr>
      <w:jc w:val="both"/>
      <w:outlineLvl w:val="6"/>
    </w:pPr>
    <w:rPr>
      <w:sz w:val="24"/>
    </w:rPr>
  </w:style>
  <w:style w:type="paragraph" w:styleId="Titolo9">
    <w:name w:val="Heading 9"/>
    <w:basedOn w:val="Normal"/>
    <w:next w:val="Normal"/>
    <w:qFormat/>
    <w:pPr>
      <w:keepNext w:val="true"/>
      <w:numPr>
        <w:ilvl w:val="8"/>
        <w:numId w:val="1"/>
      </w:numPr>
      <w:jc w:val="both"/>
      <w:outlineLvl w:val="8"/>
    </w:pPr>
    <w:rPr>
      <w:i/>
      <w:sz w:val="24"/>
    </w:rPr>
  </w:style>
  <w:style w:type="character" w:styleId="DefaultParagraphFont" w:default="1">
    <w:name w:val="Default Paragraph Font"/>
    <w:uiPriority w:val="1"/>
    <w:semiHidden/>
    <w:unhideWhenUsed/>
    <w:qFormat/>
    <w:rPr/>
  </w:style>
  <w:style w:type="character" w:styleId="WW8Num1z0" w:customStyle="1">
    <w:name w:val="WW8Num1z0"/>
    <w:qFormat/>
    <w:rPr>
      <w:rFonts w:ascii="Garamond" w:hAnsi="Garamond" w:cs="Garamond"/>
      <w:sz w:val="22"/>
      <w:szCs w:val="22"/>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Garamond" w:hAnsi="Garamond" w:cs="Garamond"/>
      <w:sz w:val="22"/>
      <w:szCs w:val="22"/>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rFonts w:ascii="Times New Roman" w:hAnsi="Times New Roman" w:cs="Times New Roman"/>
      <w:b w:val="false"/>
      <w:sz w:val="22"/>
      <w:szCs w:val="22"/>
    </w:rPr>
  </w:style>
  <w:style w:type="character" w:styleId="WW8Num4z0" w:customStyle="1">
    <w:name w:val="WW8Num4z0"/>
    <w:qFormat/>
    <w:rPr/>
  </w:style>
  <w:style w:type="character" w:styleId="WW8Num5z0" w:customStyle="1">
    <w:name w:val="WW8Num5z0"/>
    <w:qFormat/>
    <w:rPr/>
  </w:style>
  <w:style w:type="character" w:styleId="WW8Num6z0" w:customStyle="1">
    <w:name w:val="WW8Num6z0"/>
    <w:qFormat/>
    <w:rPr>
      <w:rFonts w:ascii="Symbol" w:hAnsi="Symbol" w:cs="Symbol"/>
    </w:rPr>
  </w:style>
  <w:style w:type="character" w:styleId="WW8Num6z1" w:customStyle="1">
    <w:name w:val="WW8Num6z1"/>
    <w:qFormat/>
    <w:rPr>
      <w:rFonts w:ascii="Courier New" w:hAnsi="Courier New" w:cs="Courier New"/>
    </w:rPr>
  </w:style>
  <w:style w:type="character" w:styleId="WW8Num6z2" w:customStyle="1">
    <w:name w:val="WW8Num6z2"/>
    <w:qFormat/>
    <w:rPr>
      <w:rFonts w:ascii="Wingdings" w:hAnsi="Wingdings" w:cs="Wingdings"/>
    </w:rPr>
  </w:style>
  <w:style w:type="character" w:styleId="WW8Num7z0" w:customStyle="1">
    <w:name w:val="WW8Num7z0"/>
    <w:qFormat/>
    <w:rPr>
      <w:rFonts w:ascii="Garamond" w:hAnsi="Garamond" w:cs="Garamond"/>
      <w:b/>
      <w:sz w:val="22"/>
      <w:szCs w:val="22"/>
    </w:rPr>
  </w:style>
  <w:style w:type="character" w:styleId="WW8Num7z1" w:customStyle="1">
    <w:name w:val="WW8Num7z1"/>
    <w:qFormat/>
    <w:rPr/>
  </w:style>
  <w:style w:type="character" w:styleId="WW8Num7z2" w:customStyle="1">
    <w:name w:val="WW8Num7z2"/>
    <w:qFormat/>
    <w:rPr/>
  </w:style>
  <w:style w:type="character" w:styleId="WW8Num7z3" w:customStyle="1">
    <w:name w:val="WW8Num7z3"/>
    <w:qFormat/>
    <w:rPr/>
  </w:style>
  <w:style w:type="character" w:styleId="WW8Num7z4" w:customStyle="1">
    <w:name w:val="WW8Num7z4"/>
    <w:qFormat/>
    <w:rPr/>
  </w:style>
  <w:style w:type="character" w:styleId="WW8Num7z5" w:customStyle="1">
    <w:name w:val="WW8Num7z5"/>
    <w:qFormat/>
    <w:rPr/>
  </w:style>
  <w:style w:type="character" w:styleId="WW8Num7z6" w:customStyle="1">
    <w:name w:val="WW8Num7z6"/>
    <w:qFormat/>
    <w:rPr/>
  </w:style>
  <w:style w:type="character" w:styleId="WW8Num7z7" w:customStyle="1">
    <w:name w:val="WW8Num7z7"/>
    <w:qFormat/>
    <w:rPr/>
  </w:style>
  <w:style w:type="character" w:styleId="WW8Num7z8" w:customStyle="1">
    <w:name w:val="WW8Num7z8"/>
    <w:qFormat/>
    <w:rPr/>
  </w:style>
  <w:style w:type="character" w:styleId="WW8Num8z0" w:customStyle="1">
    <w:name w:val="WW8Num8z0"/>
    <w:qFormat/>
    <w:rPr/>
  </w:style>
  <w:style w:type="character" w:styleId="Carpredefinitoparagrafo6" w:customStyle="1">
    <w:name w:val="Car. predefinito paragrafo6"/>
    <w:qFormat/>
    <w:rPr/>
  </w:style>
  <w:style w:type="character" w:styleId="WW8Num9z0" w:customStyle="1">
    <w:name w:val="WW8Num9z0"/>
    <w:qFormat/>
    <w:rPr>
      <w:rFonts w:ascii="Symbol" w:hAnsi="Symbol" w:cs="StarSymbol"/>
      <w:sz w:val="18"/>
      <w:szCs w:val="18"/>
    </w:rPr>
  </w:style>
  <w:style w:type="character" w:styleId="WW8Num10z0" w:customStyle="1">
    <w:name w:val="WW8Num10z0"/>
    <w:qFormat/>
    <w:rPr>
      <w:rFonts w:ascii="Symbol" w:hAnsi="Symbol" w:cs="Symbol"/>
      <w:sz w:val="24"/>
    </w:rPr>
  </w:style>
  <w:style w:type="character" w:styleId="WW8Num11z0" w:customStyle="1">
    <w:name w:val="WW8Num11z0"/>
    <w:qFormat/>
    <w:rPr>
      <w:rFonts w:ascii="Symbol" w:hAnsi="Symbol" w:cs="StarSymbol"/>
      <w:sz w:val="18"/>
      <w:szCs w:val="18"/>
    </w:rPr>
  </w:style>
  <w:style w:type="character" w:styleId="WW8Num12z0" w:customStyle="1">
    <w:name w:val="WW8Num12z0"/>
    <w:qFormat/>
    <w:rPr/>
  </w:style>
  <w:style w:type="character" w:styleId="WW8Num13z0" w:customStyle="1">
    <w:name w:val="WW8Num13z0"/>
    <w:qFormat/>
    <w:rPr>
      <w:rFonts w:ascii="Times New Roman" w:hAnsi="Times New Roman" w:cs="Times New Roman"/>
      <w:b w:val="false"/>
      <w:sz w:val="22"/>
      <w:szCs w:val="22"/>
    </w:rPr>
  </w:style>
  <w:style w:type="character" w:styleId="WW8Num14z0" w:customStyle="1">
    <w:name w:val="WW8Num14z0"/>
    <w:qFormat/>
    <w:rPr/>
  </w:style>
  <w:style w:type="character" w:styleId="WW8Num14z1" w:customStyle="1">
    <w:name w:val="WW8Num14z1"/>
    <w:qFormat/>
    <w:rPr/>
  </w:style>
  <w:style w:type="character" w:styleId="WW8Num14z2" w:customStyle="1">
    <w:name w:val="WW8Num14z2"/>
    <w:qFormat/>
    <w:rPr/>
  </w:style>
  <w:style w:type="character" w:styleId="WW8Num14z3" w:customStyle="1">
    <w:name w:val="WW8Num14z3"/>
    <w:qFormat/>
    <w:rPr/>
  </w:style>
  <w:style w:type="character" w:styleId="WW8Num14z4" w:customStyle="1">
    <w:name w:val="WW8Num14z4"/>
    <w:qFormat/>
    <w:rPr/>
  </w:style>
  <w:style w:type="character" w:styleId="WW8Num14z5" w:customStyle="1">
    <w:name w:val="WW8Num14z5"/>
    <w:qFormat/>
    <w:rPr/>
  </w:style>
  <w:style w:type="character" w:styleId="WW8Num14z6" w:customStyle="1">
    <w:name w:val="WW8Num14z6"/>
    <w:qFormat/>
    <w:rPr/>
  </w:style>
  <w:style w:type="character" w:styleId="WW8Num14z7" w:customStyle="1">
    <w:name w:val="WW8Num14z7"/>
    <w:qFormat/>
    <w:rPr/>
  </w:style>
  <w:style w:type="character" w:styleId="WW8Num14z8" w:customStyle="1">
    <w:name w:val="WW8Num14z8"/>
    <w:qFormat/>
    <w:rPr/>
  </w:style>
  <w:style w:type="character" w:styleId="WW8Num15z0" w:customStyle="1">
    <w:name w:val="WW8Num15z0"/>
    <w:qFormat/>
    <w:rPr>
      <w:sz w:val="24"/>
    </w:rPr>
  </w:style>
  <w:style w:type="character" w:styleId="WW8Num15z1" w:customStyle="1">
    <w:name w:val="WW8Num15z1"/>
    <w:qFormat/>
    <w:rPr/>
  </w:style>
  <w:style w:type="character" w:styleId="WW8Num15z2" w:customStyle="1">
    <w:name w:val="WW8Num15z2"/>
    <w:qFormat/>
    <w:rPr/>
  </w:style>
  <w:style w:type="character" w:styleId="WW8Num15z3" w:customStyle="1">
    <w:name w:val="WW8Num15z3"/>
    <w:qFormat/>
    <w:rPr/>
  </w:style>
  <w:style w:type="character" w:styleId="WW8Num15z4" w:customStyle="1">
    <w:name w:val="WW8Num15z4"/>
    <w:qFormat/>
    <w:rPr/>
  </w:style>
  <w:style w:type="character" w:styleId="WW8Num15z5" w:customStyle="1">
    <w:name w:val="WW8Num15z5"/>
    <w:qFormat/>
    <w:rPr/>
  </w:style>
  <w:style w:type="character" w:styleId="WW8Num15z6" w:customStyle="1">
    <w:name w:val="WW8Num15z6"/>
    <w:qFormat/>
    <w:rPr/>
  </w:style>
  <w:style w:type="character" w:styleId="WW8Num15z7" w:customStyle="1">
    <w:name w:val="WW8Num15z7"/>
    <w:qFormat/>
    <w:rPr/>
  </w:style>
  <w:style w:type="character" w:styleId="WW8Num15z8" w:customStyle="1">
    <w:name w:val="WW8Num15z8"/>
    <w:qFormat/>
    <w:rPr/>
  </w:style>
  <w:style w:type="character" w:styleId="WW8Num16z0" w:customStyle="1">
    <w:name w:val="WW8Num16z0"/>
    <w:qFormat/>
    <w:rPr/>
  </w:style>
  <w:style w:type="character" w:styleId="WW8Num16z1" w:customStyle="1">
    <w:name w:val="WW8Num16z1"/>
    <w:qFormat/>
    <w:rPr/>
  </w:style>
  <w:style w:type="character" w:styleId="WW8Num16z2" w:customStyle="1">
    <w:name w:val="WW8Num16z2"/>
    <w:qFormat/>
    <w:rPr/>
  </w:style>
  <w:style w:type="character" w:styleId="WW8Num16z3" w:customStyle="1">
    <w:name w:val="WW8Num16z3"/>
    <w:qFormat/>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WW8Num17z0" w:customStyle="1">
    <w:name w:val="WW8Num17z0"/>
    <w:qFormat/>
    <w:rPr/>
  </w:style>
  <w:style w:type="character" w:styleId="WW8Num17z1" w:customStyle="1">
    <w:name w:val="WW8Num17z1"/>
    <w:qFormat/>
    <w:rPr/>
  </w:style>
  <w:style w:type="character" w:styleId="WW8Num17z2" w:customStyle="1">
    <w:name w:val="WW8Num17z2"/>
    <w:qFormat/>
    <w:rPr/>
  </w:style>
  <w:style w:type="character" w:styleId="WW8Num17z3" w:customStyle="1">
    <w:name w:val="WW8Num17z3"/>
    <w:qFormat/>
    <w:rPr/>
  </w:style>
  <w:style w:type="character" w:styleId="WW8Num17z4" w:customStyle="1">
    <w:name w:val="WW8Num17z4"/>
    <w:qFormat/>
    <w:rPr/>
  </w:style>
  <w:style w:type="character" w:styleId="WW8Num17z5" w:customStyle="1">
    <w:name w:val="WW8Num17z5"/>
    <w:qFormat/>
    <w:rPr/>
  </w:style>
  <w:style w:type="character" w:styleId="WW8Num17z6" w:customStyle="1">
    <w:name w:val="WW8Num17z6"/>
    <w:qFormat/>
    <w:rPr/>
  </w:style>
  <w:style w:type="character" w:styleId="WW8Num17z7" w:customStyle="1">
    <w:name w:val="WW8Num17z7"/>
    <w:qFormat/>
    <w:rPr/>
  </w:style>
  <w:style w:type="character" w:styleId="WW8Num17z8" w:customStyle="1">
    <w:name w:val="WW8Num17z8"/>
    <w:qFormat/>
    <w:rPr/>
  </w:style>
  <w:style w:type="character" w:styleId="WW8Num18z0" w:customStyle="1">
    <w:name w:val="WW8Num18z0"/>
    <w:qFormat/>
    <w:rPr>
      <w:rFonts w:ascii="StarSymbol" w:hAnsi="StarSymbol" w:cs="OpenSymbol"/>
      <w:sz w:val="18"/>
      <w:szCs w:val="18"/>
    </w:rPr>
  </w:style>
  <w:style w:type="character" w:styleId="WW8Num18z1" w:customStyle="1">
    <w:name w:val="WW8Num18z1"/>
    <w:qFormat/>
    <w:rPr/>
  </w:style>
  <w:style w:type="character" w:styleId="WW8Num18z2" w:customStyle="1">
    <w:name w:val="WW8Num18z2"/>
    <w:qFormat/>
    <w:rPr/>
  </w:style>
  <w:style w:type="character" w:styleId="WW8Num18z3" w:customStyle="1">
    <w:name w:val="WW8Num18z3"/>
    <w:qFormat/>
    <w:rPr/>
  </w:style>
  <w:style w:type="character" w:styleId="WW8Num18z4" w:customStyle="1">
    <w:name w:val="WW8Num18z4"/>
    <w:qFormat/>
    <w:rPr/>
  </w:style>
  <w:style w:type="character" w:styleId="WW8Num18z5" w:customStyle="1">
    <w:name w:val="WW8Num18z5"/>
    <w:qFormat/>
    <w:rPr/>
  </w:style>
  <w:style w:type="character" w:styleId="WW8Num18z6" w:customStyle="1">
    <w:name w:val="WW8Num18z6"/>
    <w:qFormat/>
    <w:rPr/>
  </w:style>
  <w:style w:type="character" w:styleId="WW8Num18z7" w:customStyle="1">
    <w:name w:val="WW8Num18z7"/>
    <w:qFormat/>
    <w:rPr/>
  </w:style>
  <w:style w:type="character" w:styleId="WW8Num18z8" w:customStyle="1">
    <w:name w:val="WW8Num18z8"/>
    <w:qFormat/>
    <w:rPr/>
  </w:style>
  <w:style w:type="character" w:styleId="WW8Num19z0" w:customStyle="1">
    <w:name w:val="WW8Num19z0"/>
    <w:qFormat/>
    <w:rPr/>
  </w:style>
  <w:style w:type="character" w:styleId="WW8Num19z1" w:customStyle="1">
    <w:name w:val="WW8Num19z1"/>
    <w:qFormat/>
    <w:rPr/>
  </w:style>
  <w:style w:type="character" w:styleId="WW8Num19z2" w:customStyle="1">
    <w:name w:val="WW8Num19z2"/>
    <w:qFormat/>
    <w:rPr/>
  </w:style>
  <w:style w:type="character" w:styleId="WW8Num19z3" w:customStyle="1">
    <w:name w:val="WW8Num19z3"/>
    <w:qFormat/>
    <w:rPr/>
  </w:style>
  <w:style w:type="character" w:styleId="WW8Num19z4" w:customStyle="1">
    <w:name w:val="WW8Num19z4"/>
    <w:qFormat/>
    <w:rPr/>
  </w:style>
  <w:style w:type="character" w:styleId="WW8Num19z5" w:customStyle="1">
    <w:name w:val="WW8Num19z5"/>
    <w:qFormat/>
    <w:rPr/>
  </w:style>
  <w:style w:type="character" w:styleId="WW8Num19z6" w:customStyle="1">
    <w:name w:val="WW8Num19z6"/>
    <w:qFormat/>
    <w:rPr/>
  </w:style>
  <w:style w:type="character" w:styleId="WW8Num19z7" w:customStyle="1">
    <w:name w:val="WW8Num19z7"/>
    <w:qFormat/>
    <w:rPr/>
  </w:style>
  <w:style w:type="character" w:styleId="WW8Num19z8" w:customStyle="1">
    <w:name w:val="WW8Num19z8"/>
    <w:qFormat/>
    <w:rPr/>
  </w:style>
  <w:style w:type="character" w:styleId="WW8Num20z0" w:customStyle="1">
    <w:name w:val="WW8Num20z0"/>
    <w:qFormat/>
    <w:rPr>
      <w:b w:val="false"/>
      <w:i w:val="false"/>
    </w:rPr>
  </w:style>
  <w:style w:type="character" w:styleId="WW8Num20z1" w:customStyle="1">
    <w:name w:val="WW8Num20z1"/>
    <w:qFormat/>
    <w:rPr/>
  </w:style>
  <w:style w:type="character" w:styleId="WW8Num20z2" w:customStyle="1">
    <w:name w:val="WW8Num20z2"/>
    <w:qFormat/>
    <w:rPr/>
  </w:style>
  <w:style w:type="character" w:styleId="WW8Num20z3" w:customStyle="1">
    <w:name w:val="WW8Num20z3"/>
    <w:qFormat/>
    <w:rPr/>
  </w:style>
  <w:style w:type="character" w:styleId="WW8Num20z4" w:customStyle="1">
    <w:name w:val="WW8Num20z4"/>
    <w:qFormat/>
    <w:rPr/>
  </w:style>
  <w:style w:type="character" w:styleId="WW8Num20z5" w:customStyle="1">
    <w:name w:val="WW8Num20z5"/>
    <w:qFormat/>
    <w:rPr/>
  </w:style>
  <w:style w:type="character" w:styleId="WW8Num20z6" w:customStyle="1">
    <w:name w:val="WW8Num20z6"/>
    <w:qFormat/>
    <w:rPr/>
  </w:style>
  <w:style w:type="character" w:styleId="WW8Num20z7" w:customStyle="1">
    <w:name w:val="WW8Num20z7"/>
    <w:qFormat/>
    <w:rPr/>
  </w:style>
  <w:style w:type="character" w:styleId="WW8Num20z8" w:customStyle="1">
    <w:name w:val="WW8Num20z8"/>
    <w:qFormat/>
    <w:rPr/>
  </w:style>
  <w:style w:type="character" w:styleId="WW8Num21z0" w:customStyle="1">
    <w:name w:val="WW8Num21z0"/>
    <w:qFormat/>
    <w:rPr>
      <w:rFonts w:ascii="Symbol" w:hAnsi="Symbol" w:cs="Symbol"/>
    </w:rPr>
  </w:style>
  <w:style w:type="character" w:styleId="WW8Num21z1" w:customStyle="1">
    <w:name w:val="WW8Num21z1"/>
    <w:qFormat/>
    <w:rPr>
      <w:rFonts w:ascii="Courier New" w:hAnsi="Courier New" w:cs="Courier New"/>
    </w:rPr>
  </w:style>
  <w:style w:type="character" w:styleId="WW8Num21z2" w:customStyle="1">
    <w:name w:val="WW8Num21z2"/>
    <w:qFormat/>
    <w:rPr>
      <w:rFonts w:ascii="Wingdings" w:hAnsi="Wingdings" w:cs="Wingdings"/>
    </w:rPr>
  </w:style>
  <w:style w:type="character" w:styleId="WW8Num22z0" w:customStyle="1">
    <w:name w:val="WW8Num22z0"/>
    <w:qFormat/>
    <w:rPr/>
  </w:style>
  <w:style w:type="character" w:styleId="WW8Num22z1" w:customStyle="1">
    <w:name w:val="WW8Num22z1"/>
    <w:qFormat/>
    <w:rPr/>
  </w:style>
  <w:style w:type="character" w:styleId="WW8Num22z2" w:customStyle="1">
    <w:name w:val="WW8Num22z2"/>
    <w:qFormat/>
    <w:rPr/>
  </w:style>
  <w:style w:type="character" w:styleId="WW8Num22z3" w:customStyle="1">
    <w:name w:val="WW8Num22z3"/>
    <w:qFormat/>
    <w:rPr/>
  </w:style>
  <w:style w:type="character" w:styleId="WW8Num22z4" w:customStyle="1">
    <w:name w:val="WW8Num22z4"/>
    <w:qFormat/>
    <w:rPr/>
  </w:style>
  <w:style w:type="character" w:styleId="WW8Num22z5" w:customStyle="1">
    <w:name w:val="WW8Num22z5"/>
    <w:qFormat/>
    <w:rPr/>
  </w:style>
  <w:style w:type="character" w:styleId="WW8Num22z6" w:customStyle="1">
    <w:name w:val="WW8Num22z6"/>
    <w:qFormat/>
    <w:rPr/>
  </w:style>
  <w:style w:type="character" w:styleId="WW8Num22z7" w:customStyle="1">
    <w:name w:val="WW8Num22z7"/>
    <w:qFormat/>
    <w:rPr/>
  </w:style>
  <w:style w:type="character" w:styleId="WW8Num22z8" w:customStyle="1">
    <w:name w:val="WW8Num22z8"/>
    <w:qFormat/>
    <w:rPr/>
  </w:style>
  <w:style w:type="character" w:styleId="WW8Num23z0" w:customStyle="1">
    <w:name w:val="WW8Num23z0"/>
    <w:qFormat/>
    <w:rPr/>
  </w:style>
  <w:style w:type="character" w:styleId="WW8Num23z1" w:customStyle="1">
    <w:name w:val="WW8Num23z1"/>
    <w:qFormat/>
    <w:rPr/>
  </w:style>
  <w:style w:type="character" w:styleId="WW8Num23z2" w:customStyle="1">
    <w:name w:val="WW8Num23z2"/>
    <w:qFormat/>
    <w:rPr/>
  </w:style>
  <w:style w:type="character" w:styleId="WW8Num23z3" w:customStyle="1">
    <w:name w:val="WW8Num23z3"/>
    <w:qFormat/>
    <w:rPr/>
  </w:style>
  <w:style w:type="character" w:styleId="WW8Num23z4" w:customStyle="1">
    <w:name w:val="WW8Num23z4"/>
    <w:qFormat/>
    <w:rPr/>
  </w:style>
  <w:style w:type="character" w:styleId="WW8Num23z5" w:customStyle="1">
    <w:name w:val="WW8Num23z5"/>
    <w:qFormat/>
    <w:rPr/>
  </w:style>
  <w:style w:type="character" w:styleId="WW8Num23z6" w:customStyle="1">
    <w:name w:val="WW8Num23z6"/>
    <w:qFormat/>
    <w:rPr/>
  </w:style>
  <w:style w:type="character" w:styleId="WW8Num23z7" w:customStyle="1">
    <w:name w:val="WW8Num23z7"/>
    <w:qFormat/>
    <w:rPr/>
  </w:style>
  <w:style w:type="character" w:styleId="WW8Num23z8" w:customStyle="1">
    <w:name w:val="WW8Num23z8"/>
    <w:qFormat/>
    <w:rPr/>
  </w:style>
  <w:style w:type="character" w:styleId="WW8Num24z0" w:customStyle="1">
    <w:name w:val="WW8Num24z0"/>
    <w:qFormat/>
    <w:rPr/>
  </w:style>
  <w:style w:type="character" w:styleId="WW8Num24z1" w:customStyle="1">
    <w:name w:val="WW8Num24z1"/>
    <w:qFormat/>
    <w:rPr/>
  </w:style>
  <w:style w:type="character" w:styleId="WW8Num24z2" w:customStyle="1">
    <w:name w:val="WW8Num24z2"/>
    <w:qFormat/>
    <w:rPr/>
  </w:style>
  <w:style w:type="character" w:styleId="WW8Num24z3" w:customStyle="1">
    <w:name w:val="WW8Num24z3"/>
    <w:qFormat/>
    <w:rPr/>
  </w:style>
  <w:style w:type="character" w:styleId="WW8Num24z4" w:customStyle="1">
    <w:name w:val="WW8Num24z4"/>
    <w:qFormat/>
    <w:rPr/>
  </w:style>
  <w:style w:type="character" w:styleId="WW8Num24z5" w:customStyle="1">
    <w:name w:val="WW8Num24z5"/>
    <w:qFormat/>
    <w:rPr/>
  </w:style>
  <w:style w:type="character" w:styleId="WW8Num24z6" w:customStyle="1">
    <w:name w:val="WW8Num24z6"/>
    <w:qFormat/>
    <w:rPr/>
  </w:style>
  <w:style w:type="character" w:styleId="WW8Num24z7" w:customStyle="1">
    <w:name w:val="WW8Num24z7"/>
    <w:qFormat/>
    <w:rPr/>
  </w:style>
  <w:style w:type="character" w:styleId="WW8Num24z8" w:customStyle="1">
    <w:name w:val="WW8Num24z8"/>
    <w:qFormat/>
    <w:rPr/>
  </w:style>
  <w:style w:type="character" w:styleId="WW8Num25z0" w:customStyle="1">
    <w:name w:val="WW8Num25z0"/>
    <w:qFormat/>
    <w:rPr>
      <w:rFonts w:ascii="Wingdings" w:hAnsi="Wingdings" w:cs="Wingdings"/>
    </w:rPr>
  </w:style>
  <w:style w:type="character" w:styleId="WW8Num25z1" w:customStyle="1">
    <w:name w:val="WW8Num25z1"/>
    <w:qFormat/>
    <w:rPr>
      <w:rFonts w:ascii="Courier New" w:hAnsi="Courier New" w:cs="Courier New"/>
    </w:rPr>
  </w:style>
  <w:style w:type="character" w:styleId="WW8Num25z3" w:customStyle="1">
    <w:name w:val="WW8Num25z3"/>
    <w:qFormat/>
    <w:rPr>
      <w:rFonts w:ascii="Symbol" w:hAnsi="Symbol" w:cs="Symbol"/>
    </w:rPr>
  </w:style>
  <w:style w:type="character" w:styleId="WW8Num26z0" w:customStyle="1">
    <w:name w:val="WW8Num26z0"/>
    <w:qFormat/>
    <w:rPr>
      <w:rFonts w:ascii="Wingdings" w:hAnsi="Wingdings" w:cs="Wingdings"/>
      <w:sz w:val="18"/>
      <w:szCs w:val="18"/>
      <w:shd w:fill="FFFFFF" w:val="clear"/>
    </w:rPr>
  </w:style>
  <w:style w:type="character" w:styleId="WW8Num26z1" w:customStyle="1">
    <w:name w:val="WW8Num26z1"/>
    <w:qFormat/>
    <w:rPr/>
  </w:style>
  <w:style w:type="character" w:styleId="WW8Num26z2" w:customStyle="1">
    <w:name w:val="WW8Num26z2"/>
    <w:qFormat/>
    <w:rPr/>
  </w:style>
  <w:style w:type="character" w:styleId="WW8Num26z3" w:customStyle="1">
    <w:name w:val="WW8Num26z3"/>
    <w:qFormat/>
    <w:rPr/>
  </w:style>
  <w:style w:type="character" w:styleId="WW8Num26z4" w:customStyle="1">
    <w:name w:val="WW8Num26z4"/>
    <w:qFormat/>
    <w:rPr/>
  </w:style>
  <w:style w:type="character" w:styleId="WW8Num26z5" w:customStyle="1">
    <w:name w:val="WW8Num26z5"/>
    <w:qFormat/>
    <w:rPr/>
  </w:style>
  <w:style w:type="character" w:styleId="WW8Num26z6" w:customStyle="1">
    <w:name w:val="WW8Num26z6"/>
    <w:qFormat/>
    <w:rPr/>
  </w:style>
  <w:style w:type="character" w:styleId="WW8Num26z7" w:customStyle="1">
    <w:name w:val="WW8Num26z7"/>
    <w:qFormat/>
    <w:rPr/>
  </w:style>
  <w:style w:type="character" w:styleId="WW8Num26z8" w:customStyle="1">
    <w:name w:val="WW8Num26z8"/>
    <w:qFormat/>
    <w:rPr/>
  </w:style>
  <w:style w:type="character" w:styleId="WW8Num27z0" w:customStyle="1">
    <w:name w:val="WW8Num27z0"/>
    <w:qFormat/>
    <w:rPr>
      <w:rFonts w:ascii="Garamond" w:hAnsi="Garamond" w:cs="Garamond"/>
      <w:b/>
      <w:sz w:val="22"/>
      <w:szCs w:val="22"/>
    </w:rPr>
  </w:style>
  <w:style w:type="character" w:styleId="WW8Num27z1" w:customStyle="1">
    <w:name w:val="WW8Num27z1"/>
    <w:qFormat/>
    <w:rPr/>
  </w:style>
  <w:style w:type="character" w:styleId="WW8Num27z2" w:customStyle="1">
    <w:name w:val="WW8Num27z2"/>
    <w:qFormat/>
    <w:rPr/>
  </w:style>
  <w:style w:type="character" w:styleId="WW8Num27z3" w:customStyle="1">
    <w:name w:val="WW8Num27z3"/>
    <w:qFormat/>
    <w:rPr/>
  </w:style>
  <w:style w:type="character" w:styleId="WW8Num27z4" w:customStyle="1">
    <w:name w:val="WW8Num27z4"/>
    <w:qFormat/>
    <w:rPr/>
  </w:style>
  <w:style w:type="character" w:styleId="WW8Num27z5" w:customStyle="1">
    <w:name w:val="WW8Num27z5"/>
    <w:qFormat/>
    <w:rPr/>
  </w:style>
  <w:style w:type="character" w:styleId="WW8Num27z6" w:customStyle="1">
    <w:name w:val="WW8Num27z6"/>
    <w:qFormat/>
    <w:rPr/>
  </w:style>
  <w:style w:type="character" w:styleId="WW8Num27z7" w:customStyle="1">
    <w:name w:val="WW8Num27z7"/>
    <w:qFormat/>
    <w:rPr/>
  </w:style>
  <w:style w:type="character" w:styleId="WW8Num27z8" w:customStyle="1">
    <w:name w:val="WW8Num27z8"/>
    <w:qFormat/>
    <w:rPr/>
  </w:style>
  <w:style w:type="character" w:styleId="WW8Num28z0" w:customStyle="1">
    <w:name w:val="WW8Num28z0"/>
    <w:qFormat/>
    <w:rPr/>
  </w:style>
  <w:style w:type="character" w:styleId="WW8Num28z1" w:customStyle="1">
    <w:name w:val="WW8Num28z1"/>
    <w:qFormat/>
    <w:rPr/>
  </w:style>
  <w:style w:type="character" w:styleId="WW8Num28z2" w:customStyle="1">
    <w:name w:val="WW8Num28z2"/>
    <w:qFormat/>
    <w:rPr/>
  </w:style>
  <w:style w:type="character" w:styleId="WW8Num28z3" w:customStyle="1">
    <w:name w:val="WW8Num28z3"/>
    <w:qFormat/>
    <w:rPr/>
  </w:style>
  <w:style w:type="character" w:styleId="WW8Num28z4" w:customStyle="1">
    <w:name w:val="WW8Num28z4"/>
    <w:qFormat/>
    <w:rPr/>
  </w:style>
  <w:style w:type="character" w:styleId="WW8Num28z5" w:customStyle="1">
    <w:name w:val="WW8Num28z5"/>
    <w:qFormat/>
    <w:rPr/>
  </w:style>
  <w:style w:type="character" w:styleId="WW8Num28z6" w:customStyle="1">
    <w:name w:val="WW8Num28z6"/>
    <w:qFormat/>
    <w:rPr/>
  </w:style>
  <w:style w:type="character" w:styleId="WW8Num28z7" w:customStyle="1">
    <w:name w:val="WW8Num28z7"/>
    <w:qFormat/>
    <w:rPr/>
  </w:style>
  <w:style w:type="character" w:styleId="WW8Num28z8" w:customStyle="1">
    <w:name w:val="WW8Num28z8"/>
    <w:qFormat/>
    <w:rPr/>
  </w:style>
  <w:style w:type="character" w:styleId="WW8Num29z0" w:customStyle="1">
    <w:name w:val="WW8Num29z0"/>
    <w:qFormat/>
    <w:rPr/>
  </w:style>
  <w:style w:type="character" w:styleId="WW8Num29z1" w:customStyle="1">
    <w:name w:val="WW8Num29z1"/>
    <w:qFormat/>
    <w:rPr/>
  </w:style>
  <w:style w:type="character" w:styleId="WW8Num29z2" w:customStyle="1">
    <w:name w:val="WW8Num29z2"/>
    <w:qFormat/>
    <w:rPr/>
  </w:style>
  <w:style w:type="character" w:styleId="WW8Num29z3" w:customStyle="1">
    <w:name w:val="WW8Num29z3"/>
    <w:qFormat/>
    <w:rPr/>
  </w:style>
  <w:style w:type="character" w:styleId="WW8Num29z4" w:customStyle="1">
    <w:name w:val="WW8Num29z4"/>
    <w:qFormat/>
    <w:rPr/>
  </w:style>
  <w:style w:type="character" w:styleId="WW8Num29z5" w:customStyle="1">
    <w:name w:val="WW8Num29z5"/>
    <w:qFormat/>
    <w:rPr/>
  </w:style>
  <w:style w:type="character" w:styleId="WW8Num29z6" w:customStyle="1">
    <w:name w:val="WW8Num29z6"/>
    <w:qFormat/>
    <w:rPr/>
  </w:style>
  <w:style w:type="character" w:styleId="WW8Num29z7" w:customStyle="1">
    <w:name w:val="WW8Num29z7"/>
    <w:qFormat/>
    <w:rPr/>
  </w:style>
  <w:style w:type="character" w:styleId="WW8Num29z8" w:customStyle="1">
    <w:name w:val="WW8Num29z8"/>
    <w:qFormat/>
    <w:rPr/>
  </w:style>
  <w:style w:type="character" w:styleId="WW8Num30z0" w:customStyle="1">
    <w:name w:val="WW8Num30z0"/>
    <w:qFormat/>
    <w:rPr/>
  </w:style>
  <w:style w:type="character" w:styleId="WW8Num30z1" w:customStyle="1">
    <w:name w:val="WW8Num30z1"/>
    <w:qFormat/>
    <w:rPr/>
  </w:style>
  <w:style w:type="character" w:styleId="WW8Num30z2" w:customStyle="1">
    <w:name w:val="WW8Num30z2"/>
    <w:qFormat/>
    <w:rPr/>
  </w:style>
  <w:style w:type="character" w:styleId="WW8Num30z3" w:customStyle="1">
    <w:name w:val="WW8Num30z3"/>
    <w:qFormat/>
    <w:rPr/>
  </w:style>
  <w:style w:type="character" w:styleId="WW8Num30z4" w:customStyle="1">
    <w:name w:val="WW8Num30z4"/>
    <w:qFormat/>
    <w:rPr/>
  </w:style>
  <w:style w:type="character" w:styleId="WW8Num30z5" w:customStyle="1">
    <w:name w:val="WW8Num30z5"/>
    <w:qFormat/>
    <w:rPr/>
  </w:style>
  <w:style w:type="character" w:styleId="WW8Num30z6" w:customStyle="1">
    <w:name w:val="WW8Num30z6"/>
    <w:qFormat/>
    <w:rPr/>
  </w:style>
  <w:style w:type="character" w:styleId="WW8Num30z7" w:customStyle="1">
    <w:name w:val="WW8Num30z7"/>
    <w:qFormat/>
    <w:rPr/>
  </w:style>
  <w:style w:type="character" w:styleId="WW8Num30z8" w:customStyle="1">
    <w:name w:val="WW8Num30z8"/>
    <w:qFormat/>
    <w:rPr/>
  </w:style>
  <w:style w:type="character" w:styleId="WW8Num31z0" w:customStyle="1">
    <w:name w:val="WW8Num31z0"/>
    <w:qFormat/>
    <w:rPr/>
  </w:style>
  <w:style w:type="character" w:styleId="WW8Num31z1" w:customStyle="1">
    <w:name w:val="WW8Num31z1"/>
    <w:qFormat/>
    <w:rPr/>
  </w:style>
  <w:style w:type="character" w:styleId="WW8Num31z2" w:customStyle="1">
    <w:name w:val="WW8Num31z2"/>
    <w:qFormat/>
    <w:rPr/>
  </w:style>
  <w:style w:type="character" w:styleId="WW8Num31z3" w:customStyle="1">
    <w:name w:val="WW8Num31z3"/>
    <w:qFormat/>
    <w:rPr/>
  </w:style>
  <w:style w:type="character" w:styleId="WW8Num31z4" w:customStyle="1">
    <w:name w:val="WW8Num31z4"/>
    <w:qFormat/>
    <w:rPr/>
  </w:style>
  <w:style w:type="character" w:styleId="WW8Num31z5" w:customStyle="1">
    <w:name w:val="WW8Num31z5"/>
    <w:qFormat/>
    <w:rPr/>
  </w:style>
  <w:style w:type="character" w:styleId="WW8Num31z6" w:customStyle="1">
    <w:name w:val="WW8Num31z6"/>
    <w:qFormat/>
    <w:rPr/>
  </w:style>
  <w:style w:type="character" w:styleId="WW8Num31z7" w:customStyle="1">
    <w:name w:val="WW8Num31z7"/>
    <w:qFormat/>
    <w:rPr/>
  </w:style>
  <w:style w:type="character" w:styleId="WW8Num31z8" w:customStyle="1">
    <w:name w:val="WW8Num31z8"/>
    <w:qFormat/>
    <w:rPr/>
  </w:style>
  <w:style w:type="character" w:styleId="Carpredefinitoparagrafo5" w:customStyle="1">
    <w:name w:val="Car. predefinito paragrafo5"/>
    <w:qFormat/>
    <w:rPr/>
  </w:style>
  <w:style w:type="character" w:styleId="WW8Num13z1" w:customStyle="1">
    <w:name w:val="WW8Num13z1"/>
    <w:qFormat/>
    <w:rPr>
      <w:rFonts w:ascii="Courier New" w:hAnsi="Courier New" w:cs="Courier New"/>
    </w:rPr>
  </w:style>
  <w:style w:type="character" w:styleId="WW8Num13z2" w:customStyle="1">
    <w:name w:val="WW8Num13z2"/>
    <w:qFormat/>
    <w:rPr>
      <w:rFonts w:ascii="Wingdings" w:hAnsi="Wingdings" w:cs="Wingdings"/>
    </w:rPr>
  </w:style>
  <w:style w:type="character" w:styleId="WW8Num13z3" w:customStyle="1">
    <w:name w:val="WW8Num13z3"/>
    <w:qFormat/>
    <w:rPr>
      <w:rFonts w:ascii="Symbol" w:hAnsi="Symbol" w:cs="Symbol"/>
    </w:rPr>
  </w:style>
  <w:style w:type="character" w:styleId="Carpredefinitoparagrafo4" w:customStyle="1">
    <w:name w:val="Car. predefinito paragrafo4"/>
    <w:qFormat/>
    <w:rPr/>
  </w:style>
  <w:style w:type="character" w:styleId="Carpredefinitoparagrafo3" w:customStyle="1">
    <w:name w:val="Car. predefinito paragrafo3"/>
    <w:qFormat/>
    <w:rPr/>
  </w:style>
  <w:style w:type="character" w:styleId="WW-Carpredefinitoparagrafo" w:customStyle="1">
    <w:name w:val="WW-Car. predefinito paragrafo"/>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WW-Absatz-Standardschriftart1111" w:customStyle="1">
    <w:name w:val="WW-Absatz-Standardschriftart1111"/>
    <w:qFormat/>
    <w:rPr/>
  </w:style>
  <w:style w:type="character" w:styleId="WW-Absatz-Standardschriftart11111" w:customStyle="1">
    <w:name w:val="WW-Absatz-Standardschriftart11111"/>
    <w:qFormat/>
    <w:rPr/>
  </w:style>
  <w:style w:type="character" w:styleId="WW-Absatz-Standardschriftart111111" w:customStyle="1">
    <w:name w:val="WW-Absatz-Standardschriftart111111"/>
    <w:qFormat/>
    <w:rPr/>
  </w:style>
  <w:style w:type="character" w:styleId="WW-Absatz-Standardschriftart1111111" w:customStyle="1">
    <w:name w:val="WW-Absatz-Standardschriftart1111111"/>
    <w:qFormat/>
    <w:rPr/>
  </w:style>
  <w:style w:type="character" w:styleId="WW-Absatz-Standardschriftart11111111" w:customStyle="1">
    <w:name w:val="WW-Absatz-Standardschriftart11111111"/>
    <w:qFormat/>
    <w:rPr/>
  </w:style>
  <w:style w:type="character" w:styleId="WW-Carpredefinitoparagrafo1" w:customStyle="1">
    <w:name w:val="WW-Car. predefinito paragrafo1"/>
    <w:qFormat/>
    <w:rPr/>
  </w:style>
  <w:style w:type="character" w:styleId="WW-Absatz-Standardschriftart111111111" w:customStyle="1">
    <w:name w:val="WW-Absatz-Standardschriftart111111111"/>
    <w:qFormat/>
    <w:rPr/>
  </w:style>
  <w:style w:type="character" w:styleId="WW-Absatz-Standardschriftart1111111111" w:customStyle="1">
    <w:name w:val="WW-Absatz-Standardschriftart1111111111"/>
    <w:qFormat/>
    <w:rPr/>
  </w:style>
  <w:style w:type="character" w:styleId="WW-Absatz-Standardschriftart11111111111" w:customStyle="1">
    <w:name w:val="WW-Absatz-Standardschriftart11111111111"/>
    <w:qFormat/>
    <w:rPr/>
  </w:style>
  <w:style w:type="character" w:styleId="WW-Absatz-Standardschriftart111111111111" w:customStyle="1">
    <w:name w:val="WW-Absatz-Standardschriftart111111111111"/>
    <w:qFormat/>
    <w:rPr/>
  </w:style>
  <w:style w:type="character" w:styleId="WW-Absatz-Standardschriftart1111111111111" w:customStyle="1">
    <w:name w:val="WW-Absatz-Standardschriftart1111111111111"/>
    <w:qFormat/>
    <w:rPr/>
  </w:style>
  <w:style w:type="character" w:styleId="WW-Absatz-Standardschriftart11111111111111" w:customStyle="1">
    <w:name w:val="WW-Absatz-Standardschriftart11111111111111"/>
    <w:qFormat/>
    <w:rPr/>
  </w:style>
  <w:style w:type="character" w:styleId="WW-Absatz-Standardschriftart111111111111111" w:customStyle="1">
    <w:name w:val="WW-Absatz-Standardschriftart111111111111111"/>
    <w:qFormat/>
    <w:rPr/>
  </w:style>
  <w:style w:type="character" w:styleId="Carpredefinitoparagrafo2" w:customStyle="1">
    <w:name w:val="Car. predefinito paragrafo2"/>
    <w:qFormat/>
    <w:rPr/>
  </w:style>
  <w:style w:type="character" w:styleId="WW-Absatz-Standardschriftart1111111111111111" w:customStyle="1">
    <w:name w:val="WW-Absatz-Standardschriftart1111111111111111"/>
    <w:qFormat/>
    <w:rPr/>
  </w:style>
  <w:style w:type="character" w:styleId="WW-Absatz-Standardschriftart11111111111111111" w:customStyle="1">
    <w:name w:val="WW-Absatz-Standardschriftart11111111111111111"/>
    <w:qFormat/>
    <w:rPr/>
  </w:style>
  <w:style w:type="character" w:styleId="WW-Absatz-Standardschriftart111111111111111111" w:customStyle="1">
    <w:name w:val="WW-Absatz-Standardschriftart111111111111111111"/>
    <w:qFormat/>
    <w:rPr/>
  </w:style>
  <w:style w:type="character" w:styleId="WW-Absatz-Standardschriftart1111111111111111111" w:customStyle="1">
    <w:name w:val="WW-Absatz-Standardschriftart1111111111111111111"/>
    <w:qFormat/>
    <w:rPr/>
  </w:style>
  <w:style w:type="character" w:styleId="WW-Absatz-Standardschriftart11111111111111111111" w:customStyle="1">
    <w:name w:val="WW-Absatz-Standardschriftart11111111111111111111"/>
    <w:qFormat/>
    <w:rPr/>
  </w:style>
  <w:style w:type="character" w:styleId="Carpredefinitoparagrafo1" w:customStyle="1">
    <w:name w:val="Car. predefinito paragrafo1"/>
    <w:qFormat/>
    <w:rPr/>
  </w:style>
  <w:style w:type="character" w:styleId="WW-Absatz-Standardschriftart111111111111111111111" w:customStyle="1">
    <w:name w:val="WW-Absatz-Standardschriftart111111111111111111111"/>
    <w:qFormat/>
    <w:rPr/>
  </w:style>
  <w:style w:type="character" w:styleId="WW-Absatz-Standardschriftart1111111111111111111111" w:customStyle="1">
    <w:name w:val="WW-Absatz-Standardschriftart1111111111111111111111"/>
    <w:qFormat/>
    <w:rPr/>
  </w:style>
  <w:style w:type="character" w:styleId="WW-Absatz-Standardschriftart11111111111111111111111" w:customStyle="1">
    <w:name w:val="WW-Absatz-Standardschriftart11111111111111111111111"/>
    <w:qFormat/>
    <w:rPr/>
  </w:style>
  <w:style w:type="character" w:styleId="WW-Absatz-Standardschriftart111111111111111111111111" w:customStyle="1">
    <w:name w:val="WW-Absatz-Standardschriftart111111111111111111111111"/>
    <w:qFormat/>
    <w:rPr/>
  </w:style>
  <w:style w:type="character" w:styleId="WW-Absatz-Standardschriftart1111111111111111111111111" w:customStyle="1">
    <w:name w:val="WW-Absatz-Standardschriftart1111111111111111111111111"/>
    <w:qFormat/>
    <w:rPr/>
  </w:style>
  <w:style w:type="character" w:styleId="WW-Absatz-Standardschriftart11111111111111111111111111" w:customStyle="1">
    <w:name w:val="WW-Absatz-Standardschriftart11111111111111111111111111"/>
    <w:qFormat/>
    <w:rPr/>
  </w:style>
  <w:style w:type="character" w:styleId="WW-Absatz-Standardschriftart111111111111111111111111111" w:customStyle="1">
    <w:name w:val="WW-Absatz-Standardschriftart111111111111111111111111111"/>
    <w:qFormat/>
    <w:rPr/>
  </w:style>
  <w:style w:type="character" w:styleId="WW-Absatz-Standardschriftart1111111111111111111111111111" w:customStyle="1">
    <w:name w:val="WW-Absatz-Standardschriftart1111111111111111111111111111"/>
    <w:qFormat/>
    <w:rPr/>
  </w:style>
  <w:style w:type="character" w:styleId="WW-Absatz-Standardschriftart11111111111111111111111111111" w:customStyle="1">
    <w:name w:val="WW-Absatz-Standardschriftart11111111111111111111111111111"/>
    <w:qFormat/>
    <w:rPr/>
  </w:style>
  <w:style w:type="character" w:styleId="WW-Absatz-Standardschriftart111111111111111111111111111111" w:customStyle="1">
    <w:name w:val="WW-Absatz-Standardschriftart111111111111111111111111111111"/>
    <w:qFormat/>
    <w:rPr/>
  </w:style>
  <w:style w:type="character" w:styleId="WW-Absatz-Standardschriftart1111111111111111111111111111111" w:customStyle="1">
    <w:name w:val="WW-Absatz-Standardschriftart1111111111111111111111111111111"/>
    <w:qFormat/>
    <w:rPr/>
  </w:style>
  <w:style w:type="character" w:styleId="WW-Absatz-Standardschriftart11111111111111111111111111111111" w:customStyle="1">
    <w:name w:val="WW-Absatz-Standardschriftart11111111111111111111111111111111"/>
    <w:qFormat/>
    <w:rPr/>
  </w:style>
  <w:style w:type="character" w:styleId="WW-Absatz-Standardschriftart111111111111111111111111111111111" w:customStyle="1">
    <w:name w:val="WW-Absatz-Standardschriftart111111111111111111111111111111111"/>
    <w:qFormat/>
    <w:rPr/>
  </w:style>
  <w:style w:type="character" w:styleId="WW-Absatz-Standardschriftart1111111111111111111111111111111111" w:customStyle="1">
    <w:name w:val="WW-Absatz-Standardschriftart1111111111111111111111111111111111"/>
    <w:qFormat/>
    <w:rPr/>
  </w:style>
  <w:style w:type="character" w:styleId="WW-Absatz-Standardschriftart11111111111111111111111111111111111" w:customStyle="1">
    <w:name w:val="WW-Absatz-Standardschriftart11111111111111111111111111111111111"/>
    <w:qFormat/>
    <w:rPr/>
  </w:style>
  <w:style w:type="character" w:styleId="WW-Absatz-Standardschriftart111111111111111111111111111111111111" w:customStyle="1">
    <w:name w:val="WW-Absatz-Standardschriftart111111111111111111111111111111111111"/>
    <w:qFormat/>
    <w:rPr/>
  </w:style>
  <w:style w:type="character" w:styleId="WW-Absatz-Standardschriftart1111111111111111111111111111111111111" w:customStyle="1">
    <w:name w:val="WW-Absatz-Standardschriftart1111111111111111111111111111111111111"/>
    <w:qFormat/>
    <w:rPr/>
  </w:style>
  <w:style w:type="character" w:styleId="WW-Absatz-Standardschriftart11111111111111111111111111111111111111" w:customStyle="1">
    <w:name w:val="WW-Absatz-Standardschriftart11111111111111111111111111111111111111"/>
    <w:qFormat/>
    <w:rPr/>
  </w:style>
  <w:style w:type="character" w:styleId="WW-Absatz-Standardschriftart111111111111111111111111111111111111111" w:customStyle="1">
    <w:name w:val="WW-Absatz-Standardschriftart111111111111111111111111111111111111111"/>
    <w:qFormat/>
    <w:rPr/>
  </w:style>
  <w:style w:type="character" w:styleId="WW-Absatz-Standardschriftart1111111111111111111111111111111111111111" w:customStyle="1">
    <w:name w:val="WW-Absatz-Standardschriftart1111111111111111111111111111111111111111"/>
    <w:qFormat/>
    <w:rPr/>
  </w:style>
  <w:style w:type="character" w:styleId="WW-Absatz-Standardschriftart11111111111111111111111111111111111111111" w:customStyle="1">
    <w:name w:val="WW-Absatz-Standardschriftart11111111111111111111111111111111111111111"/>
    <w:qFormat/>
    <w:rPr/>
  </w:style>
  <w:style w:type="character" w:styleId="WW-Absatz-Standardschriftart111111111111111111111111111111111111111111" w:customStyle="1">
    <w:name w:val="WW-Absatz-Standardschriftart111111111111111111111111111111111111111111"/>
    <w:qFormat/>
    <w:rPr/>
  </w:style>
  <w:style w:type="character" w:styleId="WW-Absatz-Standardschriftart1111111111111111111111111111111111111111111" w:customStyle="1">
    <w:name w:val="WW-Absatz-Standardschriftart1111111111111111111111111111111111111111111"/>
    <w:qFormat/>
    <w:rPr/>
  </w:style>
  <w:style w:type="character" w:styleId="WW-WW8Num3z0" w:customStyle="1">
    <w:name w:val="WW-WW8Num3z0"/>
    <w:qFormat/>
    <w:rPr>
      <w:b w:val="false"/>
      <w:i/>
    </w:rPr>
  </w:style>
  <w:style w:type="character" w:styleId="WW-WW8Num6z0" w:customStyle="1">
    <w:name w:val="WW-WW8Num6z0"/>
    <w:qFormat/>
    <w:rPr>
      <w:b w:val="false"/>
      <w:i/>
    </w:rPr>
  </w:style>
  <w:style w:type="character" w:styleId="WW-WW8Num8z0" w:customStyle="1">
    <w:name w:val="WW-WW8Num8z0"/>
    <w:qFormat/>
    <w:rPr>
      <w:rFonts w:ascii="StarSymbol" w:hAnsi="StarSymbol" w:cs="StarSymbol"/>
      <w:sz w:val="18"/>
      <w:szCs w:val="18"/>
    </w:rPr>
  </w:style>
  <w:style w:type="character" w:styleId="WW-Absatz-Standardschriftart11111111111111111111111111111111111111111111" w:customStyle="1">
    <w:name w:val="WW-Absatz-Standardschriftart11111111111111111111111111111111111111111111"/>
    <w:qFormat/>
    <w:rPr/>
  </w:style>
  <w:style w:type="character" w:styleId="WW-WW8Num3z01" w:customStyle="1">
    <w:name w:val="WW-WW8Num3z01"/>
    <w:qFormat/>
    <w:rPr>
      <w:b w:val="false"/>
      <w:i/>
    </w:rPr>
  </w:style>
  <w:style w:type="character" w:styleId="WW-WW8Num6z01" w:customStyle="1">
    <w:name w:val="WW-WW8Num6z01"/>
    <w:qFormat/>
    <w:rPr>
      <w:b w:val="false"/>
      <w:i/>
    </w:rPr>
  </w:style>
  <w:style w:type="character" w:styleId="WW-WW8Num8z01" w:customStyle="1">
    <w:name w:val="WW-WW8Num8z01"/>
    <w:qFormat/>
    <w:rPr>
      <w:rFonts w:ascii="StarSymbol" w:hAnsi="StarSymbol" w:cs="StarSymbol"/>
      <w:sz w:val="18"/>
      <w:szCs w:val="18"/>
    </w:rPr>
  </w:style>
  <w:style w:type="character" w:styleId="WW-Absatz-Standardschriftart111111111111111111111111111111111111111111111" w:customStyle="1">
    <w:name w:val="WW-Absatz-Standardschriftart111111111111111111111111111111111111111111111"/>
    <w:qFormat/>
    <w:rPr/>
  </w:style>
  <w:style w:type="character" w:styleId="WW-WW8Num3z011" w:customStyle="1">
    <w:name w:val="WW-WW8Num3z011"/>
    <w:qFormat/>
    <w:rPr>
      <w:b w:val="false"/>
      <w:i/>
    </w:rPr>
  </w:style>
  <w:style w:type="character" w:styleId="WW-WW8Num6z011" w:customStyle="1">
    <w:name w:val="WW-WW8Num6z011"/>
    <w:qFormat/>
    <w:rPr>
      <w:b w:val="false"/>
      <w:i/>
    </w:rPr>
  </w:style>
  <w:style w:type="character" w:styleId="WW-WW8Num8z011" w:customStyle="1">
    <w:name w:val="WW-WW8Num8z011"/>
    <w:qFormat/>
    <w:rPr>
      <w:rFonts w:ascii="StarSymbol" w:hAnsi="StarSymbol" w:cs="StarSymbol"/>
      <w:sz w:val="18"/>
      <w:szCs w:val="18"/>
    </w:rPr>
  </w:style>
  <w:style w:type="character" w:styleId="WW-Absatz-Standardschriftart1111111111111111111111111111111111111111111111" w:customStyle="1">
    <w:name w:val="WW-Absatz-Standardschriftart1111111111111111111111111111111111111111111111"/>
    <w:qFormat/>
    <w:rPr/>
  </w:style>
  <w:style w:type="character" w:styleId="WW-WW8Num3z0111" w:customStyle="1">
    <w:name w:val="WW-WW8Num3z0111"/>
    <w:qFormat/>
    <w:rPr>
      <w:b w:val="false"/>
      <w:i/>
    </w:rPr>
  </w:style>
  <w:style w:type="character" w:styleId="WW-WW8Num6z0111" w:customStyle="1">
    <w:name w:val="WW-WW8Num6z0111"/>
    <w:qFormat/>
    <w:rPr>
      <w:b w:val="false"/>
      <w:i/>
    </w:rPr>
  </w:style>
  <w:style w:type="character" w:styleId="WW-WW8Num8z0111" w:customStyle="1">
    <w:name w:val="WW-WW8Num8z0111"/>
    <w:qFormat/>
    <w:rPr>
      <w:rFonts w:ascii="StarSymbol" w:hAnsi="StarSymbol" w:cs="StarSymbol"/>
      <w:sz w:val="18"/>
      <w:szCs w:val="18"/>
    </w:rPr>
  </w:style>
  <w:style w:type="character" w:styleId="WW-Absatz-Standardschriftart11111111111111111111111111111111111111111111111" w:customStyle="1">
    <w:name w:val="WW-Absatz-Standardschriftart11111111111111111111111111111111111111111111111"/>
    <w:qFormat/>
    <w:rPr/>
  </w:style>
  <w:style w:type="character" w:styleId="WW-WW8Num3z01111" w:customStyle="1">
    <w:name w:val="WW-WW8Num3z01111"/>
    <w:qFormat/>
    <w:rPr>
      <w:b w:val="false"/>
      <w:i/>
    </w:rPr>
  </w:style>
  <w:style w:type="character" w:styleId="WW-WW8Num6z01111" w:customStyle="1">
    <w:name w:val="WW-WW8Num6z01111"/>
    <w:qFormat/>
    <w:rPr>
      <w:b w:val="false"/>
      <w:i/>
    </w:rPr>
  </w:style>
  <w:style w:type="character" w:styleId="WW-Absatz-Standardschriftart111111111111111111111111111111111111111111111111" w:customStyle="1">
    <w:name w:val="WW-Absatz-Standardschriftart111111111111111111111111111111111111111111111111"/>
    <w:qFormat/>
    <w:rPr/>
  </w:style>
  <w:style w:type="character" w:styleId="WW-WW8Num3z011111" w:customStyle="1">
    <w:name w:val="WW-WW8Num3z011111"/>
    <w:qFormat/>
    <w:rPr>
      <w:b w:val="false"/>
      <w:i/>
    </w:rPr>
  </w:style>
  <w:style w:type="character" w:styleId="WW-WW8Num6z011111" w:customStyle="1">
    <w:name w:val="WW-WW8Num6z011111"/>
    <w:qFormat/>
    <w:rPr>
      <w:b w:val="false"/>
      <w:i/>
    </w:rPr>
  </w:style>
  <w:style w:type="character" w:styleId="WW-Absatz-Standardschriftart1111111111111111111111111111111111111111111111111" w:customStyle="1">
    <w:name w:val="WW-Absatz-Standardschriftart1111111111111111111111111111111111111111111111111"/>
    <w:qFormat/>
    <w:rPr/>
  </w:style>
  <w:style w:type="character" w:styleId="WW-WW8Num3z0111111" w:customStyle="1">
    <w:name w:val="WW-WW8Num3z0111111"/>
    <w:qFormat/>
    <w:rPr>
      <w:b w:val="false"/>
      <w:i/>
    </w:rPr>
  </w:style>
  <w:style w:type="character" w:styleId="WW-WW8Num6z0111111" w:customStyle="1">
    <w:name w:val="WW-WW8Num6z0111111"/>
    <w:qFormat/>
    <w:rPr>
      <w:b w:val="false"/>
      <w:i/>
    </w:rPr>
  </w:style>
  <w:style w:type="character" w:styleId="WW-Absatz-Standardschriftart11111111111111111111111111111111111111111111111111" w:customStyle="1">
    <w:name w:val="WW-Absatz-Standardschriftart11111111111111111111111111111111111111111111111111"/>
    <w:qFormat/>
    <w:rPr/>
  </w:style>
  <w:style w:type="character" w:styleId="WW-WW8Num3z01111111" w:customStyle="1">
    <w:name w:val="WW-WW8Num3z01111111"/>
    <w:qFormat/>
    <w:rPr>
      <w:b w:val="false"/>
      <w:i/>
    </w:rPr>
  </w:style>
  <w:style w:type="character" w:styleId="WW-WW8Num6z01111111" w:customStyle="1">
    <w:name w:val="WW-WW8Num6z01111111"/>
    <w:qFormat/>
    <w:rPr>
      <w:b w:val="false"/>
      <w:i/>
    </w:rPr>
  </w:style>
  <w:style w:type="character" w:styleId="WW-Absatz-Standardschriftart111111111111111111111111111111111111111111111111111" w:customStyle="1">
    <w:name w:val="WW-Absatz-Standardschriftart111111111111111111111111111111111111111111111111111"/>
    <w:qFormat/>
    <w:rPr/>
  </w:style>
  <w:style w:type="character" w:styleId="WW-WW8Num3z011111111" w:customStyle="1">
    <w:name w:val="WW-WW8Num3z011111111"/>
    <w:qFormat/>
    <w:rPr>
      <w:b w:val="false"/>
      <w:i/>
    </w:rPr>
  </w:style>
  <w:style w:type="character" w:styleId="WW-WW8Num6z011111111" w:customStyle="1">
    <w:name w:val="WW-WW8Num6z011111111"/>
    <w:qFormat/>
    <w:rPr>
      <w:b w:val="false"/>
      <w:i/>
    </w:rPr>
  </w:style>
  <w:style w:type="character" w:styleId="WW-Absatz-Standardschriftart1111111111111111111111111111111111111111111111111111" w:customStyle="1">
    <w:name w:val="WW-Absatz-Standardschriftart1111111111111111111111111111111111111111111111111111"/>
    <w:qFormat/>
    <w:rPr/>
  </w:style>
  <w:style w:type="character" w:styleId="WW-WW8Num3z0111111111" w:customStyle="1">
    <w:name w:val="WW-WW8Num3z0111111111"/>
    <w:qFormat/>
    <w:rPr>
      <w:b w:val="false"/>
      <w:i/>
    </w:rPr>
  </w:style>
  <w:style w:type="character" w:styleId="WW-WW8Num6z0111111111" w:customStyle="1">
    <w:name w:val="WW-WW8Num6z0111111111"/>
    <w:qFormat/>
    <w:rPr>
      <w:b w:val="false"/>
      <w:i/>
    </w:rPr>
  </w:style>
  <w:style w:type="character" w:styleId="WW-Absatz-Standardschriftart11111111111111111111111111111111111111111111111111111" w:customStyle="1">
    <w:name w:val="WW-Absatz-Standardschriftart11111111111111111111111111111111111111111111111111111"/>
    <w:qFormat/>
    <w:rPr/>
  </w:style>
  <w:style w:type="character" w:styleId="WW-WW8Num3z01111111111" w:customStyle="1">
    <w:name w:val="WW-WW8Num3z01111111111"/>
    <w:qFormat/>
    <w:rPr>
      <w:b w:val="false"/>
      <w:i/>
    </w:rPr>
  </w:style>
  <w:style w:type="character" w:styleId="WW-WW8Num6z01111111111" w:customStyle="1">
    <w:name w:val="WW-WW8Num6z01111111111"/>
    <w:qFormat/>
    <w:rPr>
      <w:b w:val="false"/>
      <w:i/>
    </w:rPr>
  </w:style>
  <w:style w:type="character" w:styleId="WW-Absatz-Standardschriftart111111111111111111111111111111111111111111111111111111" w:customStyle="1">
    <w:name w:val="WW-Absatz-Standardschriftart111111111111111111111111111111111111111111111111111111"/>
    <w:qFormat/>
    <w:rPr/>
  </w:style>
  <w:style w:type="character" w:styleId="WW-WW8Num3z011111111111" w:customStyle="1">
    <w:name w:val="WW-WW8Num3z011111111111"/>
    <w:qFormat/>
    <w:rPr>
      <w:b w:val="false"/>
      <w:i/>
    </w:rPr>
  </w:style>
  <w:style w:type="character" w:styleId="WW-WW8Num6z011111111111" w:customStyle="1">
    <w:name w:val="WW-WW8Num6z011111111111"/>
    <w:qFormat/>
    <w:rPr>
      <w:b w:val="false"/>
      <w:i/>
    </w:rPr>
  </w:style>
  <w:style w:type="character" w:styleId="WW-Absatz-Standardschriftart1111111111111111111111111111111111111111111111111111111" w:customStyle="1">
    <w:name w:val="WW-Absatz-Standardschriftart1111111111111111111111111111111111111111111111111111111"/>
    <w:qFormat/>
    <w:rPr/>
  </w:style>
  <w:style w:type="character" w:styleId="WW-WW8Num3z0111111111111" w:customStyle="1">
    <w:name w:val="WW-WW8Num3z0111111111111"/>
    <w:qFormat/>
    <w:rPr>
      <w:b w:val="false"/>
      <w:i/>
    </w:rPr>
  </w:style>
  <w:style w:type="character" w:styleId="WW-WW8Num6z0111111111111" w:customStyle="1">
    <w:name w:val="WW-WW8Num6z0111111111111"/>
    <w:qFormat/>
    <w:rPr>
      <w:b w:val="false"/>
      <w:i/>
    </w:rPr>
  </w:style>
  <w:style w:type="character" w:styleId="WW-Absatz-Standardschriftart11111111111111111111111111111111111111111111111111111111" w:customStyle="1">
    <w:name w:val="WW-Absatz-Standardschriftart11111111111111111111111111111111111111111111111111111111"/>
    <w:qFormat/>
    <w:rPr/>
  </w:style>
  <w:style w:type="character" w:styleId="WW-WW8Num3z01111111111111" w:customStyle="1">
    <w:name w:val="WW-WW8Num3z01111111111111"/>
    <w:qFormat/>
    <w:rPr>
      <w:b w:val="false"/>
      <w:i/>
    </w:rPr>
  </w:style>
  <w:style w:type="character" w:styleId="WW-WW8Num6z01111111111111" w:customStyle="1">
    <w:name w:val="WW-WW8Num6z01111111111111"/>
    <w:qFormat/>
    <w:rPr>
      <w:b w:val="false"/>
      <w:i/>
    </w:rPr>
  </w:style>
  <w:style w:type="character" w:styleId="WW-Absatz-Standardschriftart111111111111111111111111111111111111111111111111111111111" w:customStyle="1">
    <w:name w:val="WW-Absatz-Standardschriftart111111111111111111111111111111111111111111111111111111111"/>
    <w:qFormat/>
    <w:rPr/>
  </w:style>
  <w:style w:type="character" w:styleId="WW-WW8Num3z011111111111111" w:customStyle="1">
    <w:name w:val="WW-WW8Num3z011111111111111"/>
    <w:qFormat/>
    <w:rPr>
      <w:b w:val="false"/>
      <w:i/>
    </w:rPr>
  </w:style>
  <w:style w:type="character" w:styleId="WW-WW8Num6z011111111111111" w:customStyle="1">
    <w:name w:val="WW-WW8Num6z011111111111111"/>
    <w:qFormat/>
    <w:rPr>
      <w:b w:val="false"/>
      <w:i/>
    </w:rPr>
  </w:style>
  <w:style w:type="character" w:styleId="WW-Absatz-Standardschriftart1111111111111111111111111111111111111111111111111111111111" w:customStyle="1">
    <w:name w:val="WW-Absatz-Standardschriftart1111111111111111111111111111111111111111111111111111111111"/>
    <w:qFormat/>
    <w:rPr/>
  </w:style>
  <w:style w:type="character" w:styleId="WW-WW8Num3z0111111111111111" w:customStyle="1">
    <w:name w:val="WW-WW8Num3z0111111111111111"/>
    <w:qFormat/>
    <w:rPr>
      <w:b w:val="false"/>
      <w:i/>
    </w:rPr>
  </w:style>
  <w:style w:type="character" w:styleId="WW-WW8Num6z0111111111111111" w:customStyle="1">
    <w:name w:val="WW-WW8Num6z0111111111111111"/>
    <w:qFormat/>
    <w:rPr>
      <w:b w:val="false"/>
      <w:i/>
    </w:rPr>
  </w:style>
  <w:style w:type="character" w:styleId="WW-Absatz-Standardschriftart11111111111111111111111111111111111111111111111111111111111" w:customStyle="1">
    <w:name w:val="WW-Absatz-Standardschriftart11111111111111111111111111111111111111111111111111111111111"/>
    <w:qFormat/>
    <w:rPr/>
  </w:style>
  <w:style w:type="character" w:styleId="WW-WW8Num3z01111111111111111" w:customStyle="1">
    <w:name w:val="WW-WW8Num3z01111111111111111"/>
    <w:qFormat/>
    <w:rPr>
      <w:b w:val="false"/>
      <w:i/>
    </w:rPr>
  </w:style>
  <w:style w:type="character" w:styleId="WW-WW8Num6z01111111111111111" w:customStyle="1">
    <w:name w:val="WW-WW8Num6z01111111111111111"/>
    <w:qFormat/>
    <w:rPr>
      <w:b w:val="false"/>
      <w:i/>
    </w:rPr>
  </w:style>
  <w:style w:type="character" w:styleId="WW-Absatz-Standardschriftart111111111111111111111111111111111111111111111111111111111111" w:customStyle="1">
    <w:name w:val="WW-Absatz-Standardschriftart111111111111111111111111111111111111111111111111111111111111"/>
    <w:qFormat/>
    <w:rPr/>
  </w:style>
  <w:style w:type="character" w:styleId="WW-WW8Num3z011111111111111111" w:customStyle="1">
    <w:name w:val="WW-WW8Num3z011111111111111111"/>
    <w:qFormat/>
    <w:rPr>
      <w:b w:val="false"/>
      <w:i/>
    </w:rPr>
  </w:style>
  <w:style w:type="character" w:styleId="WW-WW8Num6z011111111111111111" w:customStyle="1">
    <w:name w:val="WW-WW8Num6z011111111111111111"/>
    <w:qFormat/>
    <w:rPr>
      <w:b w:val="false"/>
      <w:i/>
    </w:rPr>
  </w:style>
  <w:style w:type="character" w:styleId="WW-Absatz-Standardschriftart1111111111111111111111111111111111111111111111111111111111111" w:customStyle="1">
    <w:name w:val="WW-Absatz-Standardschriftart1111111111111111111111111111111111111111111111111111111111111"/>
    <w:qFormat/>
    <w:rPr/>
  </w:style>
  <w:style w:type="character" w:styleId="WW-WW8Num3z0111111111111111111" w:customStyle="1">
    <w:name w:val="WW-WW8Num3z0111111111111111111"/>
    <w:qFormat/>
    <w:rPr>
      <w:b w:val="false"/>
      <w:i/>
    </w:rPr>
  </w:style>
  <w:style w:type="character" w:styleId="WW-WW8Num6z0111111111111111111" w:customStyle="1">
    <w:name w:val="WW-WW8Num6z0111111111111111111"/>
    <w:qFormat/>
    <w:rPr>
      <w:b w:val="false"/>
      <w:i/>
    </w:rPr>
  </w:style>
  <w:style w:type="character" w:styleId="WW-Absatz-Standardschriftart11111111111111111111111111111111111111111111111111111111111111" w:customStyle="1">
    <w:name w:val="WW-Absatz-Standardschriftart11111111111111111111111111111111111111111111111111111111111111"/>
    <w:qFormat/>
    <w:rPr/>
  </w:style>
  <w:style w:type="character" w:styleId="WW-WW8Num3z01111111111111111111" w:customStyle="1">
    <w:name w:val="WW-WW8Num3z01111111111111111111"/>
    <w:qFormat/>
    <w:rPr>
      <w:b w:val="false"/>
      <w:i/>
    </w:rPr>
  </w:style>
  <w:style w:type="character" w:styleId="WW-WW8Num6z01111111111111111111" w:customStyle="1">
    <w:name w:val="WW-WW8Num6z01111111111111111111"/>
    <w:qFormat/>
    <w:rPr>
      <w:b w:val="false"/>
      <w:i/>
    </w:rPr>
  </w:style>
  <w:style w:type="character" w:styleId="WW-Absatz-Standardschriftart111111111111111111111111111111111111111111111111111111111111111" w:customStyle="1">
    <w:name w:val="WW-Absatz-Standardschriftart111111111111111111111111111111111111111111111111111111111111111"/>
    <w:qFormat/>
    <w:rPr/>
  </w:style>
  <w:style w:type="character" w:styleId="WW-WW8Num3z011111111111111111111" w:customStyle="1">
    <w:name w:val="WW-WW8Num3z011111111111111111111"/>
    <w:qFormat/>
    <w:rPr>
      <w:b w:val="false"/>
      <w:i/>
    </w:rPr>
  </w:style>
  <w:style w:type="character" w:styleId="WW-WW8Num6z011111111111111111111" w:customStyle="1">
    <w:name w:val="WW-WW8Num6z011111111111111111111"/>
    <w:qFormat/>
    <w:rPr>
      <w:b w:val="false"/>
      <w:i/>
    </w:rPr>
  </w:style>
  <w:style w:type="character" w:styleId="WW-Absatz-Standardschriftart1111111111111111111111111111111111111111111111111111111111111111" w:customStyle="1">
    <w:name w:val="WW-Absatz-Standardschriftart1111111111111111111111111111111111111111111111111111111111111111"/>
    <w:qFormat/>
    <w:rPr/>
  </w:style>
  <w:style w:type="character" w:styleId="WW-WW8Num3z0111111111111111111111" w:customStyle="1">
    <w:name w:val="WW-WW8Num3z0111111111111111111111"/>
    <w:qFormat/>
    <w:rPr>
      <w:b w:val="false"/>
      <w:i/>
    </w:rPr>
  </w:style>
  <w:style w:type="character" w:styleId="WW-WW8Num6z0111111111111111111111" w:customStyle="1">
    <w:name w:val="WW-WW8Num6z0111111111111111111111"/>
    <w:qFormat/>
    <w:rPr>
      <w:b w:val="false"/>
      <w:i/>
    </w:rPr>
  </w:style>
  <w:style w:type="character" w:styleId="WW-Absatz-Standardschriftart11111111111111111111111111111111111111111111111111111111111111111" w:customStyle="1">
    <w:name w:val="WW-Absatz-Standardschriftart11111111111111111111111111111111111111111111111111111111111111111"/>
    <w:qFormat/>
    <w:rPr/>
  </w:style>
  <w:style w:type="character" w:styleId="WW-WW8Num3z01111111111111111111111" w:customStyle="1">
    <w:name w:val="WW-WW8Num3z01111111111111111111111"/>
    <w:qFormat/>
    <w:rPr>
      <w:b w:val="false"/>
      <w:i/>
    </w:rPr>
  </w:style>
  <w:style w:type="character" w:styleId="WW-WW8Num6z01111111111111111111111" w:customStyle="1">
    <w:name w:val="WW-WW8Num6z01111111111111111111111"/>
    <w:qFormat/>
    <w:rPr>
      <w:b w:val="false"/>
      <w:i/>
    </w:rPr>
  </w:style>
  <w:style w:type="character" w:styleId="WW-Absatz-Standardschriftart111111111111111111111111111111111111111111111111111111111111111111" w:customStyle="1">
    <w:name w:val="WW-Absatz-Standardschriftart111111111111111111111111111111111111111111111111111111111111111111"/>
    <w:qFormat/>
    <w:rPr/>
  </w:style>
  <w:style w:type="character" w:styleId="WW-WW8Num3z011111111111111111111111" w:customStyle="1">
    <w:name w:val="WW-WW8Num3z011111111111111111111111"/>
    <w:qFormat/>
    <w:rPr>
      <w:b w:val="false"/>
      <w:i/>
    </w:rPr>
  </w:style>
  <w:style w:type="character" w:styleId="WW-WW8Num6z011111111111111111111111" w:customStyle="1">
    <w:name w:val="WW-WW8Num6z011111111111111111111111"/>
    <w:qFormat/>
    <w:rPr>
      <w:b w:val="false"/>
      <w:i/>
    </w:rPr>
  </w:style>
  <w:style w:type="character" w:styleId="WW-Absatz-Standardschriftart1111111111111111111111111111111111111111111111111111111111111111111" w:customStyle="1">
    <w:name w:val="WW-Absatz-Standardschriftart1111111111111111111111111111111111111111111111111111111111111111111"/>
    <w:qFormat/>
    <w:rPr/>
  </w:style>
  <w:style w:type="character" w:styleId="WW-WW8Num3z0111111111111111111111111" w:customStyle="1">
    <w:name w:val="WW-WW8Num3z0111111111111111111111111"/>
    <w:qFormat/>
    <w:rPr>
      <w:b w:val="false"/>
      <w:i/>
    </w:rPr>
  </w:style>
  <w:style w:type="character" w:styleId="WW-WW8Num6z0111111111111111111111111" w:customStyle="1">
    <w:name w:val="WW-WW8Num6z0111111111111111111111111"/>
    <w:qFormat/>
    <w:rPr>
      <w:b w:val="false"/>
      <w:i/>
    </w:rPr>
  </w:style>
  <w:style w:type="character" w:styleId="WW-Absatz-Standardschriftart11111111111111111111111111111111111111111111111111111111111111111111" w:customStyle="1">
    <w:name w:val="WW-Absatz-Standardschriftart11111111111111111111111111111111111111111111111111111111111111111111"/>
    <w:qFormat/>
    <w:rPr/>
  </w:style>
  <w:style w:type="character" w:styleId="WW-WW8Num3z01111111111111111111111111" w:customStyle="1">
    <w:name w:val="WW-WW8Num3z01111111111111111111111111"/>
    <w:qFormat/>
    <w:rPr>
      <w:b w:val="false"/>
      <w:i/>
    </w:rPr>
  </w:style>
  <w:style w:type="character" w:styleId="WW-WW8Num6z01111111111111111111111111" w:customStyle="1">
    <w:name w:val="WW-WW8Num6z01111111111111111111111111"/>
    <w:qFormat/>
    <w:rPr>
      <w:b w:val="false"/>
      <w:i/>
    </w:rPr>
  </w:style>
  <w:style w:type="character" w:styleId="WW-Absatz-Standardschriftart111111111111111111111111111111111111111111111111111111111111111111111" w:customStyle="1">
    <w:name w:val="WW-Absatz-Standardschriftart111111111111111111111111111111111111111111111111111111111111111111111"/>
    <w:qFormat/>
    <w:rPr/>
  </w:style>
  <w:style w:type="character" w:styleId="WW-WW8Num3z011111111111111111111111111" w:customStyle="1">
    <w:name w:val="WW-WW8Num3z011111111111111111111111111"/>
    <w:qFormat/>
    <w:rPr>
      <w:b w:val="false"/>
      <w:i/>
    </w:rPr>
  </w:style>
  <w:style w:type="character" w:styleId="WW-WW8Num6z011111111111111111111111111" w:customStyle="1">
    <w:name w:val="WW-WW8Num6z011111111111111111111111111"/>
    <w:qFormat/>
    <w:rPr>
      <w:b w:val="false"/>
      <w:i/>
    </w:rPr>
  </w:style>
  <w:style w:type="character" w:styleId="WW-Absatz-Standardschriftart1111111111111111111111111111111111111111111111111111111111111111111111" w:customStyle="1">
    <w:name w:val="WW-Absatz-Standardschriftart1111111111111111111111111111111111111111111111111111111111111111111111"/>
    <w:qFormat/>
    <w:rPr/>
  </w:style>
  <w:style w:type="character" w:styleId="WW-WW8Num3z0111111111111111111111111111" w:customStyle="1">
    <w:name w:val="WW-WW8Num3z0111111111111111111111111111"/>
    <w:qFormat/>
    <w:rPr>
      <w:b w:val="false"/>
      <w:i/>
    </w:rPr>
  </w:style>
  <w:style w:type="character" w:styleId="WW-WW8Num6z0111111111111111111111111111" w:customStyle="1">
    <w:name w:val="WW-WW8Num6z0111111111111111111111111111"/>
    <w:qFormat/>
    <w:rPr>
      <w:b w:val="false"/>
      <w:i/>
    </w:rPr>
  </w:style>
  <w:style w:type="character" w:styleId="WW-Absatz-Standardschriftart11111111111111111111111111111111111111111111111111111111111111111111111" w:customStyle="1">
    <w:name w:val="WW-Absatz-Standardschriftart11111111111111111111111111111111111111111111111111111111111111111111111"/>
    <w:qFormat/>
    <w:rPr/>
  </w:style>
  <w:style w:type="character" w:styleId="WW-WW8Num3z01111111111111111111111111111" w:customStyle="1">
    <w:name w:val="WW-WW8Num3z01111111111111111111111111111"/>
    <w:qFormat/>
    <w:rPr>
      <w:b w:val="false"/>
      <w:i/>
    </w:rPr>
  </w:style>
  <w:style w:type="character" w:styleId="WW-WW8Num6z01111111111111111111111111111" w:customStyle="1">
    <w:name w:val="WW-WW8Num6z01111111111111111111111111111"/>
    <w:qFormat/>
    <w:rPr>
      <w:b w:val="false"/>
      <w:i/>
    </w:rPr>
  </w:style>
  <w:style w:type="character" w:styleId="WW-Absatz-Standardschriftart111111111111111111111111111111111111111111111111111111111111111111111111" w:customStyle="1">
    <w:name w:val="WW-Absatz-Standardschriftart111111111111111111111111111111111111111111111111111111111111111111111111"/>
    <w:qFormat/>
    <w:rPr/>
  </w:style>
  <w:style w:type="character" w:styleId="WW-WW8Num8z01111" w:customStyle="1">
    <w:name w:val="WW-WW8Num8z01111"/>
    <w:qFormat/>
    <w:rPr>
      <w:b w:val="false"/>
      <w:i/>
    </w:rPr>
  </w:style>
  <w:style w:type="character" w:styleId="WW8NumSt1z0" w:customStyle="1">
    <w:name w:val="WW8NumSt1z0"/>
    <w:qFormat/>
    <w:rPr>
      <w:rFonts w:ascii="Symbol" w:hAnsi="Symbol" w:cs="Symbol"/>
    </w:rPr>
  </w:style>
  <w:style w:type="character" w:styleId="WW-Caratterepredefinitoparagrafo" w:customStyle="1">
    <w:name w:val="WW-Carattere predefinito paragrafo"/>
    <w:qFormat/>
    <w:rPr/>
  </w:style>
  <w:style w:type="character" w:styleId="Pagenumber">
    <w:name w:val="page number"/>
    <w:basedOn w:val="WW-Caratterepredefinitoparagrafo"/>
    <w:qFormat/>
    <w:rPr/>
  </w:style>
  <w:style w:type="character" w:styleId="Caratterepernumerazione" w:customStyle="1">
    <w:name w:val="Carattere per numerazione"/>
    <w:qFormat/>
    <w:rPr>
      <w:rFonts w:ascii="StarSymbol" w:hAnsi="StarSymbol" w:eastAsia="StarSymbol" w:cs="StarSymbol"/>
      <w:sz w:val="18"/>
      <w:szCs w:val="18"/>
    </w:rPr>
  </w:style>
  <w:style w:type="character" w:styleId="WW-Caratterepernumerazione" w:customStyle="1">
    <w:name w:val="WW-Carattere per numerazione"/>
    <w:qFormat/>
    <w:rPr>
      <w:rFonts w:ascii="StarSymbol" w:hAnsi="StarSymbol" w:eastAsia="StarSymbol" w:cs="StarSymbol"/>
      <w:sz w:val="18"/>
      <w:szCs w:val="18"/>
    </w:rPr>
  </w:style>
  <w:style w:type="character" w:styleId="WW-Caratterepernumerazione1" w:customStyle="1">
    <w:name w:val="WW-Carattere per numerazione1"/>
    <w:qFormat/>
    <w:rPr>
      <w:rFonts w:ascii="StarSymbol" w:hAnsi="StarSymbol" w:eastAsia="StarSymbol" w:cs="StarSymbol"/>
      <w:sz w:val="18"/>
      <w:szCs w:val="18"/>
    </w:rPr>
  </w:style>
  <w:style w:type="character" w:styleId="WW-Caratterepernumerazione11" w:customStyle="1">
    <w:name w:val="WW-Carattere per numerazione11"/>
    <w:qFormat/>
    <w:rPr>
      <w:rFonts w:ascii="StarSymbol" w:hAnsi="StarSymbol" w:eastAsia="StarSymbol" w:cs="StarSymbol"/>
      <w:sz w:val="18"/>
      <w:szCs w:val="18"/>
    </w:rPr>
  </w:style>
  <w:style w:type="character" w:styleId="WW-Caratterepernumerazione111" w:customStyle="1">
    <w:name w:val="WW-Carattere per numerazione111"/>
    <w:qFormat/>
    <w:rPr>
      <w:rFonts w:ascii="StarSymbol" w:hAnsi="StarSymbol" w:eastAsia="StarSymbol" w:cs="StarSymbol"/>
      <w:sz w:val="18"/>
      <w:szCs w:val="18"/>
    </w:rPr>
  </w:style>
  <w:style w:type="character" w:styleId="WW-Caratterepernumerazione1111" w:customStyle="1">
    <w:name w:val="WW-Carattere per numerazione1111"/>
    <w:qFormat/>
    <w:rPr>
      <w:rFonts w:ascii="StarSymbol" w:hAnsi="StarSymbol" w:eastAsia="StarSymbol" w:cs="StarSymbol"/>
      <w:sz w:val="18"/>
      <w:szCs w:val="18"/>
    </w:rPr>
  </w:style>
  <w:style w:type="character" w:styleId="Punti" w:customStyle="1">
    <w:name w:val="Punti"/>
    <w:qFormat/>
    <w:rPr>
      <w:rFonts w:ascii="StarSymbol" w:hAnsi="StarSymbol" w:eastAsia="StarSymbol" w:cs="StarSymbol"/>
      <w:sz w:val="18"/>
      <w:szCs w:val="18"/>
    </w:rPr>
  </w:style>
  <w:style w:type="character" w:styleId="Caratteredinumerazione" w:customStyle="1">
    <w:name w:val="Carattere di numerazione"/>
    <w:qFormat/>
    <w:rPr/>
  </w:style>
  <w:style w:type="character" w:styleId="TestofumettoCarattere" w:customStyle="1">
    <w:name w:val="Testo fumetto Carattere"/>
    <w:qFormat/>
    <w:rPr>
      <w:rFonts w:ascii="Tahoma" w:hAnsi="Tahoma" w:cs="Tahoma"/>
      <w:sz w:val="16"/>
      <w:szCs w:val="16"/>
    </w:rPr>
  </w:style>
  <w:style w:type="character" w:styleId="CorpotestoCarattere" w:customStyle="1">
    <w:name w:val="Corpo testo Carattere"/>
    <w:qFormat/>
    <w:rPr>
      <w:sz w:val="24"/>
    </w:rPr>
  </w:style>
  <w:style w:type="character" w:styleId="BookTitle">
    <w:name w:val="Book Title"/>
    <w:qFormat/>
    <w:rPr>
      <w:b/>
      <w:bCs/>
      <w:smallCaps/>
      <w:spacing w:val="5"/>
    </w:rPr>
  </w:style>
  <w:style w:type="character" w:styleId="Annotationreference">
    <w:name w:val="annotation reference"/>
    <w:uiPriority w:val="99"/>
    <w:semiHidden/>
    <w:unhideWhenUsed/>
    <w:qFormat/>
    <w:rsid w:val="00480321"/>
    <w:rPr>
      <w:sz w:val="16"/>
      <w:szCs w:val="16"/>
    </w:rPr>
  </w:style>
  <w:style w:type="character" w:styleId="TestocommentoCarattere" w:customStyle="1">
    <w:name w:val="Testo commento Carattere"/>
    <w:link w:val="Annotationtext"/>
    <w:uiPriority w:val="99"/>
    <w:qFormat/>
    <w:rsid w:val="00480321"/>
    <w:rPr>
      <w:lang w:eastAsia="zh-CN"/>
    </w:rPr>
  </w:style>
  <w:style w:type="character" w:styleId="SoggettocommentoCarattere" w:customStyle="1">
    <w:name w:val="Soggetto commento Carattere"/>
    <w:link w:val="Annotationsubject"/>
    <w:uiPriority w:val="99"/>
    <w:semiHidden/>
    <w:qFormat/>
    <w:rsid w:val="00480321"/>
    <w:rPr>
      <w:b/>
      <w:bCs/>
      <w:lang w:eastAsia="zh-CN"/>
    </w:rPr>
  </w:style>
  <w:style w:type="paragraph" w:styleId="Titolo">
    <w:name w:val="Titolo"/>
    <w:basedOn w:val="Normal"/>
    <w:next w:val="Corpodeltesto"/>
    <w:qFormat/>
    <w:pPr>
      <w:keepNext w:val="true"/>
      <w:spacing w:before="240" w:after="120"/>
    </w:pPr>
    <w:rPr>
      <w:rFonts w:ascii="Arial" w:hAnsi="Arial" w:eastAsia="Microsoft YaHei" w:cs="Lucida Sans"/>
      <w:sz w:val="28"/>
      <w:szCs w:val="28"/>
    </w:rPr>
  </w:style>
  <w:style w:type="paragraph" w:styleId="Corpodeltesto">
    <w:name w:val="Body Text"/>
    <w:basedOn w:val="Normal"/>
    <w:pPr>
      <w:jc w:val="both"/>
    </w:pPr>
    <w:rPr>
      <w:sz w:val="24"/>
    </w:rPr>
  </w:style>
  <w:style w:type="paragraph" w:styleId="Elenco">
    <w:name w:val="List"/>
    <w:basedOn w:val="Corpodeltesto"/>
    <w:pPr/>
    <w:rPr>
      <w:rFonts w:cs="Tahoma"/>
    </w:rPr>
  </w:style>
  <w:style w:type="paragraph" w:styleId="Didascalia">
    <w:name w:val="Caption"/>
    <w:basedOn w:val="Normal"/>
    <w:qFormat/>
    <w:pPr>
      <w:suppressLineNumbers/>
      <w:spacing w:before="120" w:after="120"/>
    </w:pPr>
    <w:rPr>
      <w:rFonts w:ascii="Arial" w:hAnsi="Arial" w:cs="Lucida Sans"/>
      <w:i/>
      <w:iCs/>
      <w:sz w:val="24"/>
      <w:szCs w:val="24"/>
    </w:rPr>
  </w:style>
  <w:style w:type="paragraph" w:styleId="Indice" w:customStyle="1">
    <w:name w:val="Indice"/>
    <w:basedOn w:val="Normal"/>
    <w:qFormat/>
    <w:pPr>
      <w:suppressLineNumbers/>
    </w:pPr>
    <w:rPr>
      <w:rFonts w:cs="Tahoma"/>
    </w:rPr>
  </w:style>
  <w:style w:type="paragraph" w:styleId="Titoloprincipale">
    <w:name w:val="Title"/>
    <w:basedOn w:val="Normal"/>
    <w:next w:val="Corpodeltesto"/>
    <w:qFormat/>
    <w:pPr>
      <w:keepNext w:val="true"/>
      <w:spacing w:before="240" w:after="120"/>
    </w:pPr>
    <w:rPr>
      <w:rFonts w:ascii="Arial" w:hAnsi="Arial" w:eastAsia="Microsoft YaHei" w:cs="Lucida Sans"/>
      <w:sz w:val="28"/>
      <w:szCs w:val="28"/>
    </w:rPr>
  </w:style>
  <w:style w:type="paragraph" w:styleId="Caption">
    <w:name w:val="caption"/>
    <w:basedOn w:val="Normal"/>
    <w:qFormat/>
    <w:pPr>
      <w:suppressLineNumbers/>
      <w:spacing w:before="120" w:after="120"/>
    </w:pPr>
    <w:rPr>
      <w:rFonts w:cs="Arial"/>
      <w:i/>
      <w:iCs/>
      <w:sz w:val="24"/>
      <w:szCs w:val="24"/>
    </w:rPr>
  </w:style>
  <w:style w:type="paragraph" w:styleId="Titolo21" w:customStyle="1">
    <w:name w:val="Titolo2"/>
    <w:basedOn w:val="Normal"/>
    <w:next w:val="Corpodeltesto"/>
    <w:qFormat/>
    <w:pPr>
      <w:keepNext w:val="true"/>
      <w:spacing w:before="240" w:after="120"/>
    </w:pPr>
    <w:rPr>
      <w:rFonts w:ascii="Liberation Sans" w:hAnsi="Liberation Sans" w:eastAsia="Microsoft YaHei" w:cs="Lucida Sans"/>
      <w:sz w:val="28"/>
      <w:szCs w:val="28"/>
    </w:rPr>
  </w:style>
  <w:style w:type="paragraph" w:styleId="Titolo11" w:customStyle="1">
    <w:name w:val="Titolo1"/>
    <w:basedOn w:val="Normal"/>
    <w:next w:val="Sottotitolo"/>
    <w:qFormat/>
    <w:pPr>
      <w:jc w:val="center"/>
    </w:pPr>
    <w:rPr>
      <w:b/>
      <w:sz w:val="28"/>
    </w:rPr>
  </w:style>
  <w:style w:type="paragraph" w:styleId="Intestazione5" w:customStyle="1">
    <w:name w:val="Intestazione5"/>
    <w:basedOn w:val="Normal"/>
    <w:next w:val="Corpodeltesto"/>
    <w:qFormat/>
    <w:pPr>
      <w:keepNext w:val="true"/>
      <w:spacing w:before="240" w:after="120"/>
    </w:pPr>
    <w:rPr>
      <w:rFonts w:ascii="Arial" w:hAnsi="Arial" w:eastAsia="Lucida Sans Unicode" w:cs="Tahoma"/>
      <w:sz w:val="28"/>
      <w:szCs w:val="28"/>
    </w:rPr>
  </w:style>
  <w:style w:type="paragraph" w:styleId="Didascalia5" w:customStyle="1">
    <w:name w:val="Didascalia5"/>
    <w:basedOn w:val="Normal"/>
    <w:qFormat/>
    <w:pPr>
      <w:suppressLineNumbers/>
      <w:spacing w:before="120" w:after="120"/>
    </w:pPr>
    <w:rPr>
      <w:rFonts w:cs="Tahoma"/>
      <w:i/>
      <w:iCs/>
      <w:sz w:val="24"/>
      <w:szCs w:val="24"/>
    </w:rPr>
  </w:style>
  <w:style w:type="paragraph" w:styleId="Intestazione4" w:customStyle="1">
    <w:name w:val="Intestazione4"/>
    <w:basedOn w:val="Normal"/>
    <w:next w:val="Corpodeltesto"/>
    <w:qFormat/>
    <w:pPr>
      <w:keepNext w:val="true"/>
      <w:spacing w:before="240" w:after="120"/>
    </w:pPr>
    <w:rPr>
      <w:rFonts w:ascii="Arial" w:hAnsi="Arial" w:eastAsia="Lucida Sans Unicode" w:cs="Tahoma"/>
      <w:sz w:val="28"/>
      <w:szCs w:val="28"/>
    </w:rPr>
  </w:style>
  <w:style w:type="paragraph" w:styleId="Didascalia4" w:customStyle="1">
    <w:name w:val="Didascalia4"/>
    <w:basedOn w:val="Normal"/>
    <w:qFormat/>
    <w:pPr>
      <w:suppressLineNumbers/>
      <w:spacing w:before="120" w:after="120"/>
    </w:pPr>
    <w:rPr>
      <w:rFonts w:cs="Tahoma"/>
      <w:i/>
      <w:iCs/>
      <w:sz w:val="24"/>
      <w:szCs w:val="24"/>
    </w:rPr>
  </w:style>
  <w:style w:type="paragraph" w:styleId="Intestazioneepidipagina" w:customStyle="1">
    <w:name w:val="Intestazione e piè di pagina"/>
    <w:basedOn w:val="Normal"/>
    <w:qFormat/>
    <w:pPr>
      <w:suppressLineNumbers/>
      <w:tabs>
        <w:tab w:val="clear" w:pos="720"/>
        <w:tab w:val="center" w:pos="4819" w:leader="none"/>
        <w:tab w:val="right" w:pos="9638" w:leader="none"/>
      </w:tabs>
    </w:pPr>
    <w:rPr/>
  </w:style>
  <w:style w:type="paragraph" w:styleId="Intestazione">
    <w:name w:val="Header"/>
    <w:basedOn w:val="Normal"/>
    <w:next w:val="Corpodeltesto"/>
    <w:pPr>
      <w:tabs>
        <w:tab w:val="clear" w:pos="720"/>
        <w:tab w:val="center" w:pos="4819" w:leader="none"/>
        <w:tab w:val="right" w:pos="9638" w:leader="none"/>
      </w:tabs>
    </w:pPr>
    <w:rPr/>
  </w:style>
  <w:style w:type="paragraph" w:styleId="Intestazione3" w:customStyle="1">
    <w:name w:val="Intestazione3"/>
    <w:basedOn w:val="Normal"/>
    <w:next w:val="Corpodeltesto"/>
    <w:qFormat/>
    <w:pPr>
      <w:keepNext w:val="true"/>
      <w:spacing w:before="240" w:after="120"/>
    </w:pPr>
    <w:rPr>
      <w:rFonts w:ascii="Arial" w:hAnsi="Arial" w:eastAsia="Lucida Sans Unicode" w:cs="Tahoma"/>
      <w:sz w:val="28"/>
      <w:szCs w:val="28"/>
    </w:rPr>
  </w:style>
  <w:style w:type="paragraph" w:styleId="Didascalia3" w:customStyle="1">
    <w:name w:val="Didascalia3"/>
    <w:basedOn w:val="Normal"/>
    <w:qFormat/>
    <w:pPr>
      <w:suppressLineNumbers/>
      <w:spacing w:before="120" w:after="120"/>
    </w:pPr>
    <w:rPr>
      <w:rFonts w:cs="Tahoma"/>
      <w:i/>
      <w:iCs/>
      <w:sz w:val="24"/>
      <w:szCs w:val="24"/>
    </w:rPr>
  </w:style>
  <w:style w:type="paragraph" w:styleId="Intestazione2" w:customStyle="1">
    <w:name w:val="Intestazione2"/>
    <w:basedOn w:val="Normal"/>
    <w:next w:val="Corpodeltesto"/>
    <w:qFormat/>
    <w:pPr>
      <w:keepNext w:val="true"/>
      <w:spacing w:before="240" w:after="120"/>
    </w:pPr>
    <w:rPr>
      <w:rFonts w:ascii="Arial" w:hAnsi="Arial" w:eastAsia="Lucida Sans Unicode" w:cs="Tahoma"/>
      <w:sz w:val="28"/>
      <w:szCs w:val="28"/>
    </w:rPr>
  </w:style>
  <w:style w:type="paragraph" w:styleId="Didascalia2" w:customStyle="1">
    <w:name w:val="Didascalia2"/>
    <w:basedOn w:val="Normal"/>
    <w:qFormat/>
    <w:pPr>
      <w:suppressLineNumbers/>
      <w:spacing w:before="120" w:after="120"/>
    </w:pPr>
    <w:rPr>
      <w:rFonts w:cs="Tahoma"/>
      <w:i/>
      <w:iCs/>
      <w:sz w:val="24"/>
      <w:szCs w:val="24"/>
    </w:rPr>
  </w:style>
  <w:style w:type="paragraph" w:styleId="Intestazione1" w:customStyle="1">
    <w:name w:val="Intestazione1"/>
    <w:basedOn w:val="Normal"/>
    <w:next w:val="Corpodeltesto"/>
    <w:qFormat/>
    <w:pPr>
      <w:keepNext w:val="true"/>
      <w:spacing w:before="240" w:after="120"/>
    </w:pPr>
    <w:rPr>
      <w:rFonts w:ascii="Arial" w:hAnsi="Arial" w:eastAsia="Lucida Sans Unicode" w:cs="Tahoma"/>
      <w:sz w:val="28"/>
      <w:szCs w:val="28"/>
    </w:rPr>
  </w:style>
  <w:style w:type="paragraph" w:styleId="Didascalia1" w:customStyle="1">
    <w:name w:val="Didascalia1"/>
    <w:basedOn w:val="Normal"/>
    <w:qFormat/>
    <w:pPr>
      <w:suppressLineNumbers/>
      <w:spacing w:before="120" w:after="120"/>
    </w:pPr>
    <w:rPr>
      <w:rFonts w:cs="Tahoma"/>
      <w:i/>
      <w:iCs/>
      <w:sz w:val="24"/>
      <w:szCs w:val="24"/>
    </w:rPr>
  </w:style>
  <w:style w:type="paragraph" w:styleId="Dicitura" w:customStyle="1">
    <w:name w:val="Dicitura"/>
    <w:basedOn w:val="Normal"/>
    <w:qFormat/>
    <w:pPr>
      <w:suppressLineNumbers/>
      <w:spacing w:before="120" w:after="120"/>
    </w:pPr>
    <w:rPr>
      <w:rFonts w:cs="Tahoma"/>
      <w:i/>
      <w:iCs/>
    </w:rPr>
  </w:style>
  <w:style w:type="paragraph" w:styleId="Sottotitolo">
    <w:name w:val="Subtitle"/>
    <w:basedOn w:val="Normal"/>
    <w:next w:val="Corpodeltesto"/>
    <w:qFormat/>
    <w:pPr>
      <w:jc w:val="center"/>
    </w:pPr>
    <w:rPr>
      <w:b/>
      <w:sz w:val="24"/>
    </w:rPr>
  </w:style>
  <w:style w:type="paragraph" w:styleId="Corpodeltesto21" w:customStyle="1">
    <w:name w:val="Corpo del testo 21"/>
    <w:basedOn w:val="Normal"/>
    <w:qFormat/>
    <w:pPr>
      <w:widowControl w:val="false"/>
      <w:tabs>
        <w:tab w:val="clear" w:pos="720"/>
        <w:tab w:val="left" w:pos="0" w:leader="none"/>
        <w:tab w:val="left" w:pos="2160" w:leader="none"/>
      </w:tabs>
      <w:jc w:val="both"/>
    </w:pPr>
    <w:rPr>
      <w:b/>
      <w:bCs/>
      <w:sz w:val="24"/>
      <w:szCs w:val="24"/>
    </w:rPr>
  </w:style>
  <w:style w:type="paragraph" w:styleId="Corpodeltesto31" w:customStyle="1">
    <w:name w:val="Corpo del testo 31"/>
    <w:basedOn w:val="Normal"/>
    <w:qFormat/>
    <w:pPr/>
    <w:rPr>
      <w:sz w:val="24"/>
    </w:rPr>
  </w:style>
  <w:style w:type="paragraph" w:styleId="Pidipagina">
    <w:name w:val="Footer"/>
    <w:basedOn w:val="Normal"/>
    <w:pPr>
      <w:tabs>
        <w:tab w:val="clear" w:pos="720"/>
        <w:tab w:val="center" w:pos="4819" w:leader="none"/>
        <w:tab w:val="right" w:pos="9638" w:leader="none"/>
      </w:tabs>
    </w:pPr>
    <w:rPr/>
  </w:style>
  <w:style w:type="paragraph" w:styleId="WW-Corpodeltesto2" w:customStyle="1">
    <w:name w:val="WW-Corpo del testo 2"/>
    <w:basedOn w:val="Normal"/>
    <w:qFormat/>
    <w:pPr>
      <w:spacing w:lineRule="auto" w:line="480" w:before="0" w:after="120"/>
    </w:pPr>
    <w:rPr/>
  </w:style>
  <w:style w:type="paragraph" w:styleId="WW-Corpodeltesto3" w:customStyle="1">
    <w:name w:val="WW-Corpo del testo 3"/>
    <w:basedOn w:val="Normal"/>
    <w:qFormat/>
    <w:pPr>
      <w:spacing w:before="0" w:after="120"/>
    </w:pPr>
    <w:rPr>
      <w:sz w:val="16"/>
      <w:szCs w:val="16"/>
    </w:rPr>
  </w:style>
  <w:style w:type="paragraph" w:styleId="WW-Rientronormale" w:customStyle="1">
    <w:name w:val="WW-Rientro normale"/>
    <w:basedOn w:val="Normal"/>
    <w:qFormat/>
    <w:pPr>
      <w:ind w:left="708" w:hanging="0"/>
    </w:pPr>
    <w:rPr>
      <w:rFonts w:ascii="CG Times (WN)" w:hAnsi="CG Times (WN)" w:cs="CG Times (WN)"/>
    </w:rPr>
  </w:style>
  <w:style w:type="paragraph" w:styleId="Commenti" w:customStyle="1">
    <w:name w:val="Commenti"/>
    <w:basedOn w:val="Normal"/>
    <w:qFormat/>
    <w:pPr>
      <w:spacing w:before="240" w:after="0"/>
      <w:jc w:val="both"/>
    </w:pPr>
    <w:rPr>
      <w:rFonts w:ascii="Univers" w:hAnsi="Univers" w:cs="Univers"/>
      <w:i/>
      <w:sz w:val="22"/>
    </w:rPr>
  </w:style>
  <w:style w:type="paragraph" w:styleId="WW-Testonormale" w:customStyle="1">
    <w:name w:val="WW-Testo normale"/>
    <w:basedOn w:val="Normal"/>
    <w:qFormat/>
    <w:pPr/>
    <w:rPr>
      <w:rFonts w:ascii="Courier New" w:hAnsi="Courier New" w:cs="Courier New"/>
    </w:rPr>
  </w:style>
  <w:style w:type="paragraph" w:styleId="Contenutotabella" w:customStyle="1">
    <w:name w:val="Contenuto tabella"/>
    <w:basedOn w:val="Corpodeltesto"/>
    <w:qFormat/>
    <w:pPr>
      <w:suppressLineNumbers/>
    </w:pPr>
    <w:rPr/>
  </w:style>
  <w:style w:type="paragraph" w:styleId="Intestazionetabella" w:customStyle="1">
    <w:name w:val="Intestazione tabella"/>
    <w:basedOn w:val="Contenutotabella"/>
    <w:qFormat/>
    <w:pPr>
      <w:jc w:val="center"/>
    </w:pPr>
    <w:rPr>
      <w:b/>
      <w:bCs/>
      <w:i/>
      <w:iCs/>
    </w:rPr>
  </w:style>
  <w:style w:type="paragraph" w:styleId="Contenutocornice" w:customStyle="1">
    <w:name w:val="Contenuto cornice"/>
    <w:basedOn w:val="Corpodeltesto"/>
    <w:qFormat/>
    <w:pPr/>
    <w:rPr/>
  </w:style>
  <w:style w:type="paragraph" w:styleId="BalloonText">
    <w:name w:val="Balloon Text"/>
    <w:basedOn w:val="Normal"/>
    <w:qFormat/>
    <w:pPr/>
    <w:rPr>
      <w:rFonts w:ascii="Tahoma" w:hAnsi="Tahoma" w:cs="Tahoma"/>
      <w:sz w:val="16"/>
      <w:szCs w:val="16"/>
    </w:rPr>
  </w:style>
  <w:style w:type="paragraph" w:styleId="Standard" w:customStyle="1">
    <w:name w:val="Standard"/>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0"/>
      <w:szCs w:val="20"/>
      <w:lang w:eastAsia="zh-CN" w:val="it-IT" w:bidi="ar-SA"/>
    </w:rPr>
  </w:style>
  <w:style w:type="paragraph" w:styleId="Textbody" w:customStyle="1">
    <w:name w:val="Text body"/>
    <w:basedOn w:val="Standard"/>
    <w:qFormat/>
    <w:pPr>
      <w:jc w:val="both"/>
    </w:pPr>
    <w:rPr>
      <w:sz w:val="24"/>
    </w:rPr>
  </w:style>
  <w:style w:type="paragraph" w:styleId="Titolotabella" w:customStyle="1">
    <w:name w:val="Titolo tabella"/>
    <w:basedOn w:val="Contenutotabella"/>
    <w:qFormat/>
    <w:pPr>
      <w:jc w:val="center"/>
    </w:pPr>
    <w:rPr>
      <w:b/>
      <w:bCs/>
    </w:rPr>
  </w:style>
  <w:style w:type="paragraph" w:styleId="Default" w:customStyle="1">
    <w:name w:val="Default"/>
    <w:qFormat/>
    <w:pPr>
      <w:widowControl/>
      <w:suppressAutoHyphens w:val="true"/>
      <w:bidi w:val="0"/>
      <w:spacing w:before="0" w:after="0"/>
      <w:jc w:val="left"/>
    </w:pPr>
    <w:rPr>
      <w:rFonts w:ascii="Deja Vu Serif" w:hAnsi="Deja Vu Serif" w:cs="Deja Vu Serif" w:eastAsia="Times New Roman"/>
      <w:color w:val="000000"/>
      <w:kern w:val="0"/>
      <w:sz w:val="24"/>
      <w:szCs w:val="24"/>
      <w:lang w:val="en-US" w:eastAsia="zh-CN" w:bidi="ar-SA"/>
    </w:rPr>
  </w:style>
  <w:style w:type="paragraph" w:styleId="Revision">
    <w:name w:val="Revision"/>
    <w:uiPriority w:val="99"/>
    <w:semiHidden/>
    <w:qFormat/>
    <w:rsid w:val="00387dff"/>
    <w:pPr>
      <w:widowControl/>
      <w:suppressAutoHyphens w:val="true"/>
      <w:bidi w:val="0"/>
      <w:spacing w:before="0" w:after="0"/>
      <w:jc w:val="left"/>
    </w:pPr>
    <w:rPr>
      <w:rFonts w:ascii="Times New Roman" w:hAnsi="Times New Roman" w:eastAsia="Times New Roman" w:cs="Times New Roman"/>
      <w:color w:val="auto"/>
      <w:kern w:val="0"/>
      <w:sz w:val="20"/>
      <w:szCs w:val="20"/>
      <w:lang w:eastAsia="zh-CN" w:val="it-IT" w:bidi="ar-SA"/>
    </w:rPr>
  </w:style>
  <w:style w:type="paragraph" w:styleId="Annotationtext">
    <w:name w:val="annotation text"/>
    <w:basedOn w:val="Normal"/>
    <w:link w:val="TestocommentoCarattere"/>
    <w:uiPriority w:val="99"/>
    <w:unhideWhenUsed/>
    <w:qFormat/>
    <w:rsid w:val="00480321"/>
    <w:pPr/>
    <w:rPr/>
  </w:style>
  <w:style w:type="paragraph" w:styleId="Annotationsubject">
    <w:name w:val="annotation subject"/>
    <w:basedOn w:val="Annotationtext"/>
    <w:next w:val="Annotationtext"/>
    <w:link w:val="SoggettocommentoCarattere"/>
    <w:uiPriority w:val="99"/>
    <w:semiHidden/>
    <w:unhideWhenUsed/>
    <w:qFormat/>
    <w:rsid w:val="00480321"/>
    <w:pPr/>
    <w:rPr>
      <w:b/>
      <w:bCs/>
    </w:rPr>
  </w:style>
  <w:style w:type="paragraph" w:styleId="ListParagraph">
    <w:name w:val="List Paragraph"/>
    <w:basedOn w:val="Normal"/>
    <w:uiPriority w:val="34"/>
    <w:qFormat/>
    <w:rsid w:val="00c73fe5"/>
    <w:pPr>
      <w:spacing w:before="0" w:after="0"/>
      <w:ind w:left="720" w:hanging="0"/>
      <w:contextualSpacing/>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39"/>
    <w:rsid w:val="004477f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30A35-44F1-41F0-9611-036480EB9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Application>LibreOffice/7.5.4.2$Windows_X86_64 LibreOffice_project/36ccfdc35048b057fd9854c757a8b67ec53977b6</Application>
  <AppVersion>15.0000</AppVersion>
  <Pages>24</Pages>
  <Words>7514</Words>
  <Characters>44544</Characters>
  <CharactersWithSpaces>53279</CharactersWithSpaces>
  <Paragraphs>1519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2026-06-17T13:56:00Z</dcterms:created>
  <dc:creator>EW/LN/CB</dc:creator>
  <dc:description/>
  <cp:keywords>Ethan</cp:keywords>
  <dc:language>it-IT</dc:language>
  <cp:lastModifiedBy/>
  <cp:lastPrinted>2026-06-18T16:08:00Z</cp:lastPrinted>
  <dcterms:modified xsi:type="dcterms:W3CDTF">2026-06-30T15:28:50Z</dcterms:modified>
  <cp:revision>41</cp:revision>
  <dc:subject/>
  <dc:title>Ethan Frome</dc:title>
</cp:coreProperties>
</file>

<file path=docProps/custom.xml><?xml version="1.0" encoding="utf-8"?>
<Properties xmlns="http://schemas.openxmlformats.org/officeDocument/2006/custom-properties" xmlns:vt="http://schemas.openxmlformats.org/officeDocument/2006/docPropsVTypes"/>
</file>